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CN202011467976.1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一种应用于预警系统的运维流程作业管理辅助系统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南方电网数字电网研究院有限公司,中国南方电网有限责任公司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9212599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4273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4273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777804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04023"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4273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19.99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4273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4273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一种应用于预警系统的运维流程作业管理辅助系统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CN112613623A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CN202011467976.1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南方电网数字电网研究院有限公司,中国南方电网有限责任公司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林志达,张华兵,曹小明,陈华军,付志博,卢伟开</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成都玖和知识产权代理事务所(普通合伙)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胡琳梅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G06Q10/06 .资源、工作流程、人员或项目管理；企业或组织规划；企业或组织建模 [2023.01]</w:t>
              <w:br/>
              <w:t>G06Q10/00 行政；管理 [2023.01]</w:t>
              <w:br/>
              <w:t>G06Q50/06 .能源或水供应 [2024.01]</w:t>
              <w:br/>
              <w:t>G06Q10/10 .办公自动化；时间管理 [2023.01]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应用于预警系统的运维流程作业管理辅助系统，包括作业计划管理模块、标准作业库模块、作业方式安排模块和作业计划风险库模块，作业计划管理模块用于创建作业计划，并对作业一花进行综合管理，标准作业库模块用于创建对应的作业表单，并对作业表单进行编制和审核；可以实现对运维流程管理作业计划进行综合管理，并对作业计划进行综合审查，利用设置的标准作业库模块可方便快捷的进行作业计划的建立，并利用作业方式安排模块进行快速安排，同时设置有作业计划风险库模块，可以关联到作业计划，进行作业计划填报，大大的提高了作业管理的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93470"/>
                  <wp:effectExtent l="0" t="0" r="0" b="0"/>
                  <wp:docPr id="1249687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8725" name=""/>
                          <pic:cNvPicPr/>
                        </pic:nvPicPr>
                        <pic:blipFill>
                          <a:blip xmlns:r="http://schemas.openxmlformats.org/officeDocument/2006/relationships" r:embed="rId13"/>
                          <a:stretch>
                            <a:fillRect/>
                          </a:stretch>
                        </pic:blipFill>
                        <pic:spPr>
                          <a:xfrm>
                            <a:off x="0" y="0"/>
                            <a:ext cx="2222500" cy="109347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4273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IPC(主分类):G06Q  10/00 申请日:20201214</w:t>
            </w:r>
          </w:p>
        </w:tc>
      </w:tr>
    </w:tbl>
    <w:p>
      <w:pPr>
        <w:pStyle w:val="Heading2"/>
        <w:numPr>
          <w:ilvl w:val="1"/>
          <w:numId w:val="4"/>
        </w:numPr>
        <w:bidi w:val="0"/>
        <w:rPr>
          <w:rFonts w:hint="eastAsia"/>
          <w:color w:val="auto"/>
          <w:lang w:val="en-US" w:eastAsia="zh-CN"/>
        </w:rPr>
      </w:pPr>
      <w:bookmarkStart w:id="20" w:name="_Toc54273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4273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4273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4273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4273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4273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4273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4273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A305,I104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4273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4273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4273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4273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4273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-74.18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CN112613623A价值评估报告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CN112613623A价值评估报告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CN112613623A价值评估报告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