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CN202121828118.5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2021年08月06日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脉动周期式磁选机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2021年12月28日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广州粤有研矿物资源科技有限公司,广东省科学院资源利用与稀土开发研究所</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39379607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740065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740065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65.84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72878977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789774"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82.28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76.84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67.73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53.42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740065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52.55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30.24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76.62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76.72万元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4006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4006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脉动周期式磁选机</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CN215313093U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2021年12月28日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CN202121828118.5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2021年08月06日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广州粤有研矿物资源科技有限公司,广东省科学院资源利用与稀土开发研究所</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陈龙,杨招君,徐晓衣,王丰雨,陈俊明,许丽敏,王丽娟,钟森林,梁焘茂,王威,谢宝华</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郑州华隆知识产权代理事务所(普通合伙)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徐小磊</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B03C1/032 ....容器清洗系统 [2006.01]</w:t>
              <w:br/>
              <w:t>B03C1/033 ....以磁路为特征的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涉及一种脉动周期式磁选机，包括脉动装置、机架、管道系统和磁系装置，磁系装置包括筒体及密封设置于筒体两端的上磁极头和下磁极头，磁系装置还包括线圈装置，筒体的内腔与上磁极头和下磁极头之间所围成的区域形成分选空间，分选空间内设置有磁介质，上磁极头、下磁极头上均设置有与所述分选空间相连的流体通道，管道系统包括上侧管道装置和下侧管道装置，上侧管道装置用于分别单独向上磁极头的流体通道中通入矿浆和水，下侧管道装置用于分别单独排出磁性物和非磁性物，磁系装置下部设置有尾矿斗，脉动装置通过鼓膜与尾矿斗相连。本实用新型提供了一种磁场分布均匀，聚磁介质不易堵塞的脉动周期式磁选机，该磁选机可以用于金属矿的提纯。</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164715"/>
                  <wp:effectExtent l="0" t="0" r="0" b="0"/>
                  <wp:docPr id="10065313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31337" name=""/>
                          <pic:cNvPicPr/>
                        </pic:nvPicPr>
                        <pic:blipFill>
                          <a:blip xmlns:r="http://schemas.openxmlformats.org/officeDocument/2006/relationships" r:embed="rId13"/>
                          <a:stretch>
                            <a:fillRect/>
                          </a:stretch>
                        </pic:blipFill>
                        <pic:spPr>
                          <a:xfrm>
                            <a:off x="0" y="0"/>
                            <a:ext cx="2222500" cy="216471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4006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20211228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74006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4006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4006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4006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4006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74006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4006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292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2602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1050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1050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4006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E,I</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4006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4006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4006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4006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332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0.13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4006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60.6</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CN215313093U价值评估报告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CN215313093U价值评估报告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CN215313093U价值评估报告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