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CN202011466799.5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一种利用远程代理单元的监测预警系统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南方电网数字电网研究院有限公司,中国南方电网有限责任公司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4034799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889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889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8110754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75401"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889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49.15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80.17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89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89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一种利用远程代理单元的监测预警系统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CN112671851A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CN202011466799.5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南方电网数字电网研究院有限公司,中国南方电网有限责任公司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林志达,张华兵,曹小明,陈华军,付志博,卢伟开</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成都玖和知识产权代理事务所(普通合伙)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胡琳梅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br/>
              <w:t>H04L29/06 ..以协议为特征的〔5〕</w:t>
              <w:br/>
              <w:t>H04L12/66 .用于在不同类型的交换系统网络之间连接的装置，例如网关[2006.01]</w:t>
              <w:br/>
              <w:t>H04L12/40 ..总线网络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利用远程代理单元的监测预警系统，包括有与信息安全运行监测预警系统连接的远程代理单元，平台远程代理系统包括有数据采集模块，数据采集模块输出端分别连接有数据接入模块和数据平台基础模块，数据接入模块输出端连接有数据汇总模块，数据汇总模块输出端连接有数据存储模块；可以通过设置远程代理单元有效降低信息安全运行监测预警系统的数据交互、数据共享的难度，有效提高总部和各分子公司之间的数据交互效率，并且提高信息安全运行监测预警系统数据处理的速度，提高信息安全运行监测预警系统的安全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93458"/>
                  <wp:effectExtent l="0" t="0" r="0" b="0"/>
                  <wp:docPr id="8438631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63136" name=""/>
                          <pic:cNvPicPr/>
                        </pic:nvPicPr>
                        <pic:blipFill>
                          <a:blip xmlns:r="http://schemas.openxmlformats.org/officeDocument/2006/relationships" r:embed="rId13"/>
                          <a:stretch>
                            <a:fillRect/>
                          </a:stretch>
                        </pic:blipFill>
                        <pic:spPr>
                          <a:xfrm>
                            <a:off x="0" y="0"/>
                            <a:ext cx="2222500" cy="99345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89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29/08 申请日:20201214</w:t>
            </w:r>
          </w:p>
        </w:tc>
      </w:tr>
    </w:tbl>
    <w:p>
      <w:pPr>
        <w:pStyle w:val="Heading2"/>
        <w:numPr>
          <w:ilvl w:val="1"/>
          <w:numId w:val="4"/>
        </w:numPr>
        <w:bidi w:val="0"/>
        <w:rPr>
          <w:rFonts w:hint="eastAsia"/>
          <w:color w:val="auto"/>
          <w:lang w:val="en-US" w:eastAsia="zh-CN"/>
        </w:rPr>
      </w:pPr>
      <w:bookmarkStart w:id="20" w:name="_Toc5889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89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89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89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89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889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89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89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H101,H103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89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89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89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89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439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89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88.47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CN112671851A价值评估报告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CN112671851A价值评估报告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CN112671851A价值评估报告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