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CN202010730838.1</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2020年07月27日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复制关键路径电路和芯片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2021年08月24日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南方电网数字电网研究院有限公司,南方电网科学研究院有限责任公司,浙江大学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2024年06月21日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2138327691"/>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562426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562426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76.26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70.62</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42173"/>
                  <wp:effectExtent l="0" t="0" r="0" b="0"/>
                  <wp:docPr id="132949475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494751" name=""/>
                          <pic:cNvPicPr/>
                        </pic:nvPicPr>
                        <pic:blipFill>
                          <a:blip xmlns:r="http://schemas.openxmlformats.org/officeDocument/2006/relationships" r:embed="rId10"/>
                          <a:stretch>
                            <a:fillRect/>
                          </a:stretch>
                        </pic:blipFill>
                        <pic:spPr>
                          <a:xfrm>
                            <a:off x="0" y="0"/>
                            <a:ext cx="2222500" cy="2342173"/>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76.9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68.68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89.21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83.32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83.28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55.66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54.01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562426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110.31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56.1</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112.18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92.66万元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562426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562426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复制关键路径电路和芯片</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CN111859828B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2021年08月24日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CN202010730838.1</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2020年07月27日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南方电网数字电网研究院有限公司,南方电网科学研究院有限责任公司,浙江大学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姚浩,习伟,于杨,匡晓云,杨祎巍,黄凯,李昱霆</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广州华进联合专利商标代理有限公司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左帮胜</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G06F30/32 ..数字电路设计（可重配置电路入 G06F30/34)[2020.01]</w:t>
              <w:br/>
              <w:t>G06F30/3315 ....使用静态时序分析 [2020.01]</w:t>
              <w:br/>
              <w:t>G06F119/06 .功耗分析或优化 [2020.01]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涉及一种复制关键路径电路和芯片。所述复制关键路径电路包括延迟链电路、采样电路和裕量信息电路。其中延迟链电路用于动态地对实际关键路径进行划分，将所述实际关键路径划分为一个复制关键路径等效电路和一个时序裕量电路，并根据所述复制关键路径等效电路与所述时序裕量电路的占比和输入信号生成输出信号；采样电路与所述延迟链电路电连接，用于对所述延迟链电路的所述输出信号进行采样，并生成包含所述延迟链电路的输出信号的采样信息；以及裕量信息电路与所述采样电路电连接，用于接收所述采样信息，并根据对应于同一所述延迟链电路的多个输出信号，确定所述实际关键路径在所述延迟链电路中的实际边界信息。</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389063"/>
                  <wp:effectExtent l="0" t="0" r="0" b="0"/>
                  <wp:docPr id="1123162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16232" name=""/>
                          <pic:cNvPicPr/>
                        </pic:nvPicPr>
                        <pic:blipFill>
                          <a:blip xmlns:r="http://schemas.openxmlformats.org/officeDocument/2006/relationships" r:embed="rId13"/>
                          <a:stretch>
                            <a:fillRect/>
                          </a:stretch>
                        </pic:blipFill>
                        <pic:spPr>
                          <a:xfrm>
                            <a:off x="0" y="0"/>
                            <a:ext cx="2222500" cy="138906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562426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20201030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20201117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IPC(主分类):G06F  30/32 申请日:20200727</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20201211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著录事项变更</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著录事项变更 IPC(主分类):G06F  30/32 变更事项:申请人 变更前:南方电网数字电网研究院有限公司 变更后:南方电网数字电网研究院有限公司 变更事项:地址 变更前:511458 广东省广州市南沙区丰泽东路106号城投大厦1301房（自编1301-12159） 变更后:510700 广东省广州市黄埔区中新广州知识城亿创街1号406房之86 变更事项:申请人 变更前:南方电网科学研究院有限责任公司 浙江大学 变更后:南方电网科学研究院有限责任公司 浙江大学</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20210824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562426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562426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562426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562426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562426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562426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562426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243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742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5880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1425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1425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562426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C,E</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A102,A301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562426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562426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562426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562426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0.63</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26</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149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4</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0.72</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0.37</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61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184</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50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562426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0.78</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0.85</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22.99</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0.79</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0.85</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CN111859828B价值评估报告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CN111859828B价值评估报告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CN111859828B价值评估报告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