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CN202011437936.2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FFA700"/>
          <w:sz w:val="32"/>
          <w:szCs w:val="32"/>
        </w:rPr>
        <w:t>未决</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2020年12月10日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信息安全运行监测预警呼叫系统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南方电网数字电网研究院有限公司,中国南方电网有限责任公司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5387689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5081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5081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1681198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19849"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5081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40.55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94.16万元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5081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5081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信息安全运行监测预警呼叫系统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CN112738347A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CN202011437936.2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2020年12月10日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未决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南方电网数字电网研究院有限公司,中国南方电网有限责任公司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张今革,黄海英,林志达,张华兵,陈华军,吕华辉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成都玖和知识产权代理事务所(普通合伙)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王海权</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H04L9/32 .包括用于检验系统用户的身份或凭据的装置 [2006.01]</w:t>
              <w:br/>
              <w:t>H04M11/04 .具有报警系统，例如火灾、警察、或盗窃报警系统 [2006.01]</w:t>
              <w:br/>
              <w:t>G10L21/0208 ..噪声过滤 [2013.01]</w:t>
              <w:br/>
              <w:t>G01S19/42 ...确定位置 [2010.01]</w:t>
              <w:br/>
              <w:t>H04M3/51 ...要求话务员参与的集中呼叫应答装置 [2006.01]</w:t>
              <w:br/>
              <w:t>H04M11/02 .具有铃或信号器的系统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信息安全运行监测预警呼叫系统，包括呼叫模块，所述呼叫模块通过无线网络连接有移动端，所述呼叫模块连接有预警模块，所述预警模块连接有展示模块，所述预警模块包括安全参数处理器，本发明由监控信息模块进行较为全面的现场监控，提升抢修现场的监测预警效果，通过视频处理器与语音处理器分别对视频数据与语音数据进行处理，对于音视频的处理效果更佳，有利于提升抢修现场的预警呼叫的精准程度，通过设置的移动端，利于远程进行监测以及对预警呼叫进行处理，利于交互，在移动端设置智能上位机读取模块，提高安全性能，防止其它用户从移动端侵入。</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28962"/>
                  <wp:effectExtent l="0" t="0" r="0" b="0"/>
                  <wp:docPr id="11240109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10937" name=""/>
                          <pic:cNvPicPr/>
                        </pic:nvPicPr>
                        <pic:blipFill>
                          <a:blip xmlns:r="http://schemas.openxmlformats.org/officeDocument/2006/relationships" r:embed="rId13"/>
                          <a:stretch>
                            <a:fillRect/>
                          </a:stretch>
                        </pic:blipFill>
                        <pic:spPr>
                          <a:xfrm>
                            <a:off x="0" y="0"/>
                            <a:ext cx="2222500" cy="242896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5081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IPC(主分类):H04M   3/51 申请日:20201210</w:t>
            </w:r>
          </w:p>
        </w:tc>
      </w:tr>
    </w:tbl>
    <w:p>
      <w:pPr>
        <w:pStyle w:val="Heading2"/>
        <w:numPr>
          <w:ilvl w:val="1"/>
          <w:numId w:val="4"/>
        </w:numPr>
        <w:bidi w:val="0"/>
        <w:rPr>
          <w:rFonts w:hint="eastAsia"/>
          <w:color w:val="auto"/>
          <w:lang w:val="en-US" w:eastAsia="zh-CN"/>
        </w:rPr>
      </w:pPr>
      <w:bookmarkStart w:id="20" w:name="_Toc35081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5081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5081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5081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5081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5081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5081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5081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企业</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A104,A305,A403,B301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5081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5081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5081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5081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648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5081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126.51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CN112738347A价值评估报告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CN112738347A价值评估报告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CN112738347A价值评估报告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