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CN202011437939.6</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FFA700"/>
          <w:sz w:val="32"/>
          <w:szCs w:val="32"/>
        </w:rPr>
        <w:t>未决</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2020年12月10日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质检管控用呼叫系统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中国南方电网有限责任公司,南方电网数字电网研究院有限公司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7865380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452546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452546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71.33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68.94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174157368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573684"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67.51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63.94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88.05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83.04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60.61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61.74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452546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56.07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40.55</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91.44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94.16万元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5254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5254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质检管控用呼叫系统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CN112738350A</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2021年04月30日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CN202011437939.6</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2020年12月10日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未决</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中国南方电网有限责任公司,南方电网数字电网研究院有限公司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林志达,吕华辉,黄海英,张今革,张华兵,陈华军</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成都玖和知识产权代理事务所(普通合伙)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王海权</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G06K17/00 在包括G06K1/00 至G06K15/00 两个或多个大组中的设备之间实现协同作业的方法或装置，例如，结合有传送和读数操作的自动卡片文件 [2006.01]</w:t>
              <w:br/>
              <w:t>G07C1/20 .检查定时的巡查，例如看守人的 [2006.01]</w:t>
              <w:br/>
              <w:t>H04N7/18 .闭路电视 [CCTV] 系统，即电视信号不广播的系统 [2006.01]</w:t>
              <w:br/>
              <w:t>G06Q10/06 .资源、工作流程、人员或项目管理；企业或组织规划；企业或组织建模 [2023.01]</w:t>
              <w:br/>
              <w:t>H04M3/523 ....带有呼叫分配或排队 [2006.01]</w:t>
              <w:br/>
              <w:t>G10L15/22 .在语音识别过程中（例如在人机对话过程中）使用的程序[2006.01]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涉及一种质检管控用呼叫系统，包括呼叫接入模块，所述呼叫接入模块信号连接移动用户端，所述移动用户端通过信号线连接有摄像头、移动电源和麦克风，所述移动用户端通过信号线连接有数据上传模块，所述呼叫接入模块通过信号线连接有自动转接模块，所述自动转接模块通过信号线连接质管指挥部，所述质管指挥部通过数据传输模块信号连接有巡线机器人，本发明有助于工作人员及时处理电力故障，提升处理效率和降低风险。</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033463"/>
                  <wp:effectExtent l="0" t="0" r="0" b="0"/>
                  <wp:docPr id="21061443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44334" name=""/>
                          <pic:cNvPicPr/>
                        </pic:nvPicPr>
                        <pic:blipFill>
                          <a:blip xmlns:r="http://schemas.openxmlformats.org/officeDocument/2006/relationships" r:embed="rId13"/>
                          <a:stretch>
                            <a:fillRect/>
                          </a:stretch>
                        </pic:blipFill>
                        <pic:spPr>
                          <a:xfrm>
                            <a:off x="0" y="0"/>
                            <a:ext cx="2222500" cy="103346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5254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20210430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20211123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IPC(主分类):H04M   3/523 申请日:20201210</w:t>
            </w:r>
          </w:p>
        </w:tc>
      </w:tr>
    </w:tbl>
    <w:p>
      <w:pPr>
        <w:pStyle w:val="Heading2"/>
        <w:numPr>
          <w:ilvl w:val="1"/>
          <w:numId w:val="4"/>
        </w:numPr>
        <w:bidi w:val="0"/>
        <w:rPr>
          <w:rFonts w:hint="eastAsia"/>
          <w:color w:val="auto"/>
          <w:lang w:val="en-US" w:eastAsia="zh-CN"/>
        </w:rPr>
      </w:pPr>
      <w:bookmarkStart w:id="20" w:name="_Toc45254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5254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5254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5254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5254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45254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5254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6016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1289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5254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企业</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A104,A303,A403,I104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5254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5254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5254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5254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628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275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5254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0.86</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107.6</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CN112738350A价值评估报告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CN112738350A价值评估报告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CN112738350A价值评估报告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