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CN202011180865.2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FFA700"/>
          <w:sz w:val="32"/>
          <w:szCs w:val="32"/>
        </w:rPr>
        <w:t>未决</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2020年10月29日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输电线路监测方法、装置和系统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广西电网有限责任公司南宁供电局,南方电网数字电网研究院有限公司,中国南方电网有限责任公司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43263837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3948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3948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69.02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20658914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91469"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70.02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81.29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69.65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55.67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3948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53.08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35.82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78.95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80.28万元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3948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3948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输电线路监测方法、装置和系统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CN112305377A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2021年02月02日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CN202011180865.2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2020年10月29日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未决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广西电网有限责任公司南宁供电局,南方电网数字电网研究院有限公司,中国南方电网有限责任公司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李永成,王志明,杨泽明,李鹏,樊灵孟,黄晓胜,曾宪乐,张攀,徐文平,韦良,张勇,李立浧,赵继光,田兵,刘仲,尹旭,孙宏棣</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广州华进联合专利商标代理有限公司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纪婷婧</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G01R31/08 .探测电缆、传输线或网络中的故障 [2020.01]</w:t>
              <w:br/>
              <w:t>G01R31/58 ..测试线路、电缆或导体（测试电气绕组 G01R31/72 ）[2020.01]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申请涉及一种输电线路监测方法、装置和系统。该方法包括：读取监测设备的电源状态数据，并根据电源状态数据调整监测设备的工作模式；获取监测设备采集得到的采样信息；根据采样信息判断输电线路的运行状态。该输电线路监测方法，通过读取监测设备的电源状态数据，并根据电源状态数据调整监测设备的工作模式，由于监测设备的工作模式不同，对应的功耗也不同，即根据监测设备的电源状态调整监测设备的功耗，使监测设备持续稳定的工作，有利于提高输电线路监测方法的可靠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075815"/>
                  <wp:effectExtent l="0" t="0" r="0" b="0"/>
                  <wp:docPr id="12032731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73152" name=""/>
                          <pic:cNvPicPr/>
                        </pic:nvPicPr>
                        <pic:blipFill>
                          <a:blip xmlns:r="http://schemas.openxmlformats.org/officeDocument/2006/relationships" r:embed="rId13"/>
                          <a:stretch>
                            <a:fillRect/>
                          </a:stretch>
                        </pic:blipFill>
                        <pic:spPr>
                          <a:xfrm>
                            <a:off x="0" y="0"/>
                            <a:ext cx="2222500" cy="207581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3948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20210202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20210223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IPC(主分类):G01R  31/08 申请日:20201029</w:t>
            </w:r>
          </w:p>
        </w:tc>
      </w:tr>
    </w:tbl>
    <w:p>
      <w:pPr>
        <w:pStyle w:val="Heading2"/>
        <w:numPr>
          <w:ilvl w:val="1"/>
          <w:numId w:val="4"/>
        </w:numPr>
        <w:bidi w:val="0"/>
        <w:rPr>
          <w:rFonts w:hint="eastAsia"/>
          <w:color w:val="auto"/>
          <w:lang w:val="en-US" w:eastAsia="zh-CN"/>
        </w:rPr>
      </w:pPr>
      <w:bookmarkStart w:id="20" w:name="_Toc23948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3948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3948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3948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3948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3948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3948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5974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3948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E,O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F</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F501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3948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3948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3948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3948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0.43999999999999995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463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3948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41.19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CN112305377A价值评估报告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CN112305377A价值评估报告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CN112305377A价值评估报告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