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rPr>
          <w:rFonts w:eastAsiaTheme="minorHAnsi"/>
        </w:rPr>
      </w:pPr>
      <w:r>
        <w:rPr>
          <w:rFonts w:eastAsiaTheme="minorHAnsi"/>
        </w:rPr>
        <w:drawing>
          <wp:inline distT="0" distB="0" distL="114300" distR="114300">
            <wp:extent cx="1704975" cy="306705"/>
            <wp:effectExtent l="0" t="0" r="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704975" cy="306705"/>
                    </a:xfrm>
                    <a:prstGeom prst="rect">
                      <a:avLst/>
                    </a:prstGeom>
                    <a:noFill/>
                    <a:ln>
                      <a:noFill/>
                    </a:ln>
                  </pic:spPr>
                </pic:pic>
              </a:graphicData>
            </a:graphic>
          </wp:inline>
        </w:drawing>
      </w:r>
    </w:p>
    <w:p>
      <w:pPr>
        <w:rPr>
          <w:rFonts w:eastAsiaTheme="minorEastAsia" w:hint="eastAsia"/>
          <w:lang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ascii="思源黑体 Bold" w:eastAsia="思源黑体 Bold" w:hAnsi="思源黑体 Bold" w:cs="思源黑体 Bold" w:hint="eastAsia"/>
          <w:color w:val="4472C4" w:themeColor="accent5"/>
          <w:sz w:val="84"/>
          <w:szCs w:val="84"/>
          <w:lang w:val="en-US" w:eastAsia="zh-CN"/>
          <w14:textFill>
            <w14:solidFill>
              <w14:schemeClr w14:val="accent5"/>
            </w14:solidFill>
          </w14:textFill>
        </w:rPr>
      </w:pPr>
      <w:r>
        <w:rPr>
          <w:rFonts w:ascii="思源黑体 Bold" w:eastAsia="思源黑体 Bold" w:hAnsi="思源黑体 Bold" w:cs="思源黑体 Bold" w:hint="eastAsia"/>
          <w:color w:val="4472C4" w:themeColor="accent5"/>
          <w:sz w:val="84"/>
          <w:szCs w:val="84"/>
          <w:lang w:val="en-US" w:eastAsia="zh-CN"/>
          <w14:textFill>
            <w14:solidFill>
              <w14:schemeClr w14:val="accent5"/>
            </w14:solidFill>
          </w14:textFill>
        </w:rPr>
        <w:t>专利价值评估报告</w:t>
      </w:r>
    </w:p>
    <w:p>
      <w:pPr>
        <w:rPr>
          <w:rFonts w:hint="eastAsia"/>
          <w:lang w:val="en-US" w:eastAsia="zh-CN"/>
        </w:rPr>
      </w:pPr>
    </w:p>
    <w:p>
      <w:pPr>
        <w:rPr>
          <w:rFonts w:hint="eastAsia"/>
          <w:lang w:val="en-US" w:eastAsia="zh-CN"/>
        </w:rPr>
      </w:pPr>
    </w:p>
    <w:p>
      <w:pPr>
        <w:rPr>
          <w:rFonts w:hint="eastAsia"/>
          <w:lang w:val="en-US" w:eastAsia="zh-CN"/>
        </w:rPr>
      </w:pPr>
      <w:r>
        <w:rPr>
          <w:sz w:val="28"/>
        </w:rPr>
        <mc:AlternateContent>
          <mc:Choice Requires="wps">
            <w:drawing>
              <wp:anchor distT="0" distB="0" distL="114300" distR="114300" simplePos="0" relativeHeight="251658240" behindDoc="0" locked="0" layoutInCell="1" allowOverlap="1">
                <wp:simplePos x="0" y="0"/>
                <wp:positionH relativeFrom="column">
                  <wp:posOffset>831215</wp:posOffset>
                </wp:positionH>
                <wp:positionV relativeFrom="page">
                  <wp:posOffset>3478530</wp:posOffset>
                </wp:positionV>
                <wp:extent cx="4592320" cy="311023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2320" cy="3110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思源黑体 CN Light" w:eastAsia="思源黑体 CN Light" w:hAnsi="思源黑体 CN Light" w:cs="思源黑体 CN Light" w:hint="eastAsia"/>
                                <w:color w:val="auto"/>
                                <w:sz w:val="40"/>
                                <w:szCs w:val="4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361.6pt;height:244.9pt;margin-top:273.9pt;margin-left:65.45pt;mso-height-relative:page;mso-position-vertical-relative:page;mso-width-relative:page;position:absolute;z-index:251659264" coordsize="21600,21600" filled="f" stroked="f">
                <o:lock v:ext="edit" aspectratio="f"/>
                <v:textbox>
                  <w:txbxContent>
                    <w:p>
                      <w:pPr>
                        <w:jc w:val="center"/>
                        <w:rPr>
                          <w:rFonts w:ascii="思源黑体 CN Light" w:eastAsia="思源黑体 CN Light" w:hAnsi="思源黑体 CN Light" w:cs="思源黑体 CN Light" w:hint="eastAsia"/>
                          <w:color w:val="auto"/>
                          <w:sz w:val="40"/>
                          <w:szCs w:val="44"/>
                          <w:lang w:val="en-US" w:eastAsia="zh-CN"/>
                        </w:rPr>
                      </w:pPr>
                    </w:p>
                  </w:txbxContent>
                </v:textbox>
              </v:shape>
            </w:pict>
          </mc:Fallback>
        </mc:AlternateContent>
      </w:r>
    </w:p>
    <w:p>
      <w:pPr>
        <w:keepNext w:val="0"/>
        <w:keepLines w:val="0"/>
        <w:widowControl/>
        <w:suppressLineNumbers w:val="0"/>
        <w:ind w:left="840" w:firstLine="420" w:leftChars="0" w:firstLineChars="0"/>
        <w:jc w:val="left"/>
        <w:rPr>
          <w:rFonts w:hint="default"/>
          <w:b w:val="0"/>
          <w:bCs w:val="0"/>
          <w:color w:val="595959" w:themeColor="text1" w:themeTint="A6"/>
          <w:sz w:val="32"/>
          <w:szCs w:val="32"/>
          <w:lang w:val="en-US"/>
          <w14:textFill>
            <w14:solidFill>
              <w14:schemeClr w14:val="tx1">
                <w14:lumMod w14:val="65000"/>
                <w14:lumOff w14:val="35000"/>
              </w14:schemeClr>
            </w14:solidFill>
          </w14:textFill>
        </w:rPr>
      </w:pP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申请号</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CN202010410385.4</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 </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   </w:t>
      </w:r>
      <w:r>
        <w:rPr>
          <w:rFonts w:ascii="Times New Roman" w:hAnsi="Times New Roman"/>
          <w:b/>
          <w:color w:val="00CC00"/>
          <w:sz w:val="32"/>
          <w:szCs w:val="32"/>
        </w:rPr>
        <w:t>有效</w:t>
      </w:r>
    </w:p>
    <w:p>
      <w:pPr>
        <w:keepNext w:val="0"/>
        <w:keepLines w:val="0"/>
        <w:widowControl/>
        <w:suppressLineNumbers w:val="0"/>
        <w:ind w:left="840" w:firstLine="420" w:leftChars="0" w:firstLineChars="0"/>
        <w:jc w:val="left"/>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申请日：</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2020年05月15日</w:t>
      </w:r>
    </w:p>
    <w:p>
      <w:pPr>
        <w:keepNext w:val="0"/>
        <w:keepLines w:val="0"/>
        <w:widowControl/>
        <w:suppressLineNumbers w:val="0"/>
        <w:ind w:left="840" w:firstLine="420" w:leftChars="0" w:firstLineChars="0"/>
        <w:jc w:val="left"/>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发明名称：</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一种抗HIC管道用钢及其制备方法 </w:t>
      </w:r>
    </w:p>
    <w:p>
      <w:pPr>
        <w:keepNext w:val="0"/>
        <w:keepLines w:val="0"/>
        <w:widowControl/>
        <w:suppressLineNumbers w:val="0"/>
        <w:ind w:left="840" w:firstLine="420" w:leftChars="0" w:firstLineChars="0"/>
        <w:jc w:val="left"/>
        <w:rPr>
          <w:b w:val="0"/>
          <w:bCs w:val="0"/>
          <w:color w:val="595959" w:themeColor="text1" w:themeTint="A6"/>
          <w:sz w:val="32"/>
          <w:szCs w:val="32"/>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授权日：</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2021年03月26日 </w:t>
      </w:r>
    </w:p>
    <w:p>
      <w:pPr>
        <w:keepNext w:val="0"/>
        <w:keepLines w:val="0"/>
        <w:widowControl/>
        <w:suppressLineNumbers w:val="0"/>
        <w:ind w:left="840" w:firstLine="420" w:leftChars="0" w:firstLineChars="0"/>
        <w:jc w:val="left"/>
        <w:rPr>
          <w:rFonts w:eastAsiaTheme="minorHAnsi"/>
          <w:color w:val="auto"/>
          <w:sz w:val="32"/>
          <w:szCs w:val="32"/>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专利权人：</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佛山科学技术学院,佛山环境与能源研究院,云浮(佛山)氢能标准化创新研发中心,广东氢标科技有限公司</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lang w:val="en-US" w:eastAsia="zh-CN"/>
        </w:rPr>
      </w:pPr>
      <w:r>
        <w:rPr>
          <w:rFonts w:ascii="思源黑体 CN Light" w:eastAsia="思源黑体 CN Light" w:hAnsi="思源黑体 CN Light" w:cs="思源黑体 CN Light" w:hint="eastAsia"/>
          <w:color w:val="auto"/>
          <w:sz w:val="28"/>
          <w:szCs w:val="28"/>
          <w:lang w:val="en-US" w:eastAsia="zh-CN"/>
        </w:rPr>
        <w:t>2024年06月21日</w:t>
      </w:r>
    </w:p>
    <w:p>
      <w:pPr>
        <w:rPr>
          <w:rFonts w:hint="eastAsia"/>
          <w:lang w:val="en-US" w:eastAsia="zh-CN"/>
        </w:rPr>
      </w:pPr>
    </w:p>
    <w:p>
      <w:pPr>
        <w:rPr>
          <w:rFonts w:hint="eastAsia"/>
          <w:lang w:val="en-US" w:eastAsia="zh-CN"/>
        </w:rPr>
      </w:pPr>
    </w:p>
    <w:p>
      <w:pPr>
        <w:rPr>
          <w:rFonts w:hint="eastAsia"/>
          <w:lang w:val="en-US" w:eastAsia="zh-CN"/>
        </w:rPr>
      </w:pPr>
      <w:r>
        <w:rPr>
          <w:color w:val="auto"/>
          <w:sz w:val="28"/>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ge">
                  <wp:posOffset>8267700</wp:posOffset>
                </wp:positionV>
                <wp:extent cx="5280025" cy="118745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80025" cy="1187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kern w:val="0"/>
                                <w:sz w:val="24"/>
                                <w:szCs w:val="24"/>
                                <w:lang w:val="en-US" w:eastAsia="zh-CN" w:bidi="ar"/>
                                <w14:textFill>
                                  <w14:solidFill>
                                    <w14:schemeClr w14:val="tx1">
                                      <w14:lumMod w14:val="65000"/>
                                      <w14:lumOff w14:val="35000"/>
                                    </w14:schemeClr>
                                  </w14:solidFill>
                                </w14:textFill>
                              </w:rPr>
                              <w:t>免责声明</w:t>
                            </w:r>
                          </w:p>
                          <w:p>
                            <w:pPr>
                              <w:keepNext w:val="0"/>
                              <w:keepLines w:val="0"/>
                              <w:widowControl/>
                              <w:numPr>
                                <w:ilvl w:val="0"/>
                                <w:numId w:val="0"/>
                              </w:numPr>
                              <w:suppressLineNumbers w:val="0"/>
                              <w:ind w:leftChars="0"/>
                              <w:jc w:val="left"/>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kern w:val="0"/>
                                <w:sz w:val="18"/>
                                <w:szCs w:val="18"/>
                                <w:lang w:val="en-US" w:eastAsia="zh-CN" w:bidi="ar"/>
                                <w14:textFill>
                                  <w14:solidFill>
                                    <w14:schemeClr w14:val="tx1">
                                      <w14:lumMod w14:val="65000"/>
                                      <w14:lumOff w14:val="35000"/>
                                    </w14:schemeClr>
                                  </w14:solidFill>
                                </w14:textFill>
                              </w:rPr>
                              <w:t>专利价值评估方法众多，本报告采用层次分析法，经一致性校验后对影响专利法律价值、技术价值、市场价值、战略价值的40余个参数进行建模对专利进行打分，并以官方发布各领域平均许可费用为基准，计算专利价值。本报告结果仅供参考，不作为任何技术、法律依据。</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type="#_x0000_t202" style="width:415.75pt;height:93.5pt;margin-top:651pt;margin-left:3.25pt;mso-height-relative:page;mso-position-vertical-relative:page;mso-width-relative:page;position:absolute;z-index:251661312" coordsize="21600,21600" filled="f" stroked="f">
                <o:lock v:ext="edit" aspectratio="f"/>
                <v:textbox>
                  <w:txbxContent>
                    <w:p>
                      <w:pPr>
                        <w:keepNext w:val="0"/>
                        <w:keepLines w:val="0"/>
                        <w:widowControl/>
                        <w:suppressLineNumbers w:val="0"/>
                        <w:jc w:val="left"/>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kern w:val="0"/>
                          <w:sz w:val="24"/>
                          <w:szCs w:val="24"/>
                          <w:lang w:val="en-US" w:eastAsia="zh-CN" w:bidi="ar"/>
                          <w14:textFill>
                            <w14:solidFill>
                              <w14:schemeClr w14:val="tx1">
                                <w14:lumMod w14:val="65000"/>
                                <w14:lumOff w14:val="35000"/>
                              </w14:schemeClr>
                            </w14:solidFill>
                          </w14:textFill>
                        </w:rPr>
                        <w:t>免责声明</w:t>
                      </w:r>
                    </w:p>
                    <w:p>
                      <w:pPr>
                        <w:keepNext w:val="0"/>
                        <w:keepLines w:val="0"/>
                        <w:widowControl/>
                        <w:numPr>
                          <w:ilvl w:val="0"/>
                          <w:numId w:val="0"/>
                        </w:numPr>
                        <w:suppressLineNumbers w:val="0"/>
                        <w:ind w:leftChars="0"/>
                        <w:jc w:val="left"/>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kern w:val="0"/>
                          <w:sz w:val="18"/>
                          <w:szCs w:val="18"/>
                          <w:lang w:val="en-US" w:eastAsia="zh-CN" w:bidi="ar"/>
                          <w14:textFill>
                            <w14:solidFill>
                              <w14:schemeClr w14:val="tx1">
                                <w14:lumMod w14:val="65000"/>
                                <w14:lumOff w14:val="35000"/>
                              </w14:schemeClr>
                            </w14:solidFill>
                          </w14:textFill>
                        </w:rPr>
                        <w:t>专利价值评估方法众多，本报告采用层次分析法，经一致性校验后对影响专利法律价值、技术价值、市场价值、战略价值的40余个参数进行建模对专利进行打分，并以官方发布各领域平均许可费用为基准，计算专利价值。本报告结果仅供参考，不作为任何技术、法律依据。</w:t>
                      </w: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sectPr>
          <w:headerReference w:type="default" r:id="rId6"/>
          <w:pgSz w:w="11906" w:h="16838"/>
          <w:pgMar w:top="1440" w:right="1800" w:bottom="1440" w:left="1800" w:header="851" w:footer="992" w:gutter="0"/>
          <w:cols w:num="1" w:space="425"/>
          <w:docGrid w:type="lines" w:linePitch="312" w:charSpace="0"/>
        </w:sectPr>
      </w:pPr>
    </w:p>
    <w:p>
      <w:pPr>
        <w:rPr>
          <w:rFonts w:hint="eastAsia"/>
          <w:b/>
          <w:bCs/>
          <w:sz w:val="44"/>
          <w:szCs w:val="52"/>
          <w:lang w:val="en-US" w:eastAsia="zh-CN"/>
        </w:rPr>
      </w:pPr>
      <w:bookmarkStart w:id="0" w:name="_Toc5798461"/>
    </w:p>
    <w:sdt>
      <w:sdtPr>
        <w:id w:val="581395742"/>
        <w:docPartObj>
          <w:docPartGallery w:val="Table of Contents"/>
          <w:docPartUnique/>
        </w:docPartObj>
      </w:sdtPr>
      <w:sdtContent>
        <w:p>
          <w:pPr>
            <w:pStyle w:val="TOCHeading"/>
          </w:pPr>
          <w:r>
            <w:t>目录</w:t>
          </w:r>
        </w:p>
        <w:p>
          <w:pPr>
            <w:pStyle w:val="TOC1"/>
            <w:tabs>
              <w:tab w:val="left" w:pos="840"/>
              <w:tab w:val="right" w:pos="8296"/>
            </w:tabs>
            <w:rPr>
              <w:rFonts w:asciiTheme="minorHAnsi" w:hAnsiTheme="minorHAnsi"/>
              <w:noProof/>
              <w:sz w:val="22"/>
            </w:rPr>
          </w:pPr>
          <w:r>
            <w:fldChar w:fldCharType="begin"/>
          </w:r>
          <w:r>
            <w:instrText>TOC \o "1-3" \h \z \u</w:instrText>
          </w:r>
          <w:r>
            <w:fldChar w:fldCharType="separate"/>
          </w:r>
          <w:hyperlink w:anchor="_Toc256000000" w:history="1">
            <w:r>
              <w:rPr>
                <w:rStyle w:val="Hyperlink"/>
              </w:rPr>
              <w:t>1.</w:t>
            </w:r>
            <w:r>
              <w:rPr>
                <w:rFonts w:asciiTheme="minorHAnsi" w:hAnsiTheme="minorHAnsi"/>
                <w:noProof/>
                <w:sz w:val="22"/>
              </w:rPr>
              <w:tab/>
            </w:r>
            <w:r>
              <w:rPr>
                <w:rStyle w:val="Hyperlink"/>
                <w:rFonts w:hint="eastAsia"/>
              </w:rPr>
              <w:t>专利评估结果概览</w:t>
            </w:r>
            <w:r>
              <w:tab/>
            </w:r>
            <w:r>
              <w:fldChar w:fldCharType="begin"/>
            </w:r>
            <w:r>
              <w:instrText xml:space="preserve"> PAGEREF _Toc256000000 \h </w:instrText>
            </w:r>
            <w:r>
              <w:fldChar w:fldCharType="separate"/>
            </w:r>
            <w:r>
              <w:t>1</w:t>
            </w:r>
            <w:r>
              <w:fldChar w:fldCharType="end"/>
            </w:r>
          </w:hyperlink>
        </w:p>
        <w:p>
          <w:pPr>
            <w:pStyle w:val="TOC2"/>
            <w:tabs>
              <w:tab w:val="left" w:pos="840"/>
              <w:tab w:val="right" w:pos="8296"/>
            </w:tabs>
            <w:rPr>
              <w:rFonts w:asciiTheme="minorHAnsi" w:hAnsiTheme="minorHAnsi"/>
              <w:noProof/>
              <w:sz w:val="22"/>
            </w:rPr>
          </w:pPr>
          <w:hyperlink w:anchor="_Toc256000001" w:history="1">
            <w:r>
              <w:rPr>
                <w:rStyle w:val="Hyperlink"/>
              </w:rPr>
              <w:t>1.1.</w:t>
            </w:r>
            <w:r>
              <w:rPr>
                <w:rFonts w:asciiTheme="minorHAnsi" w:hAnsiTheme="minorHAnsi"/>
                <w:noProof/>
                <w:sz w:val="22"/>
              </w:rPr>
              <w:tab/>
            </w:r>
            <w:r>
              <w:rPr>
                <w:rStyle w:val="Hyperlink"/>
                <w:rFonts w:hint="eastAsia"/>
              </w:rPr>
              <w:t>专利评分结果</w:t>
            </w:r>
            <w:r>
              <w:tab/>
            </w:r>
            <w:r>
              <w:fldChar w:fldCharType="begin"/>
            </w:r>
            <w:r>
              <w:instrText xml:space="preserve"> PAGEREF _Toc256000001 \h </w:instrText>
            </w:r>
            <w:r>
              <w:fldChar w:fldCharType="separate"/>
            </w:r>
            <w:r>
              <w:t>1</w:t>
            </w:r>
            <w:r>
              <w:fldChar w:fldCharType="end"/>
            </w:r>
          </w:hyperlink>
        </w:p>
        <w:p>
          <w:pPr>
            <w:pStyle w:val="TOC2"/>
            <w:tabs>
              <w:tab w:val="left" w:pos="840"/>
              <w:tab w:val="right" w:pos="8296"/>
            </w:tabs>
            <w:rPr>
              <w:rFonts w:asciiTheme="minorHAnsi" w:hAnsiTheme="minorHAnsi"/>
              <w:noProof/>
              <w:sz w:val="22"/>
            </w:rPr>
          </w:pPr>
          <w:hyperlink w:anchor="_Toc256000002" w:history="1">
            <w:r>
              <w:rPr>
                <w:rStyle w:val="Hyperlink"/>
              </w:rPr>
              <w:t>1.2.</w:t>
            </w:r>
            <w:r>
              <w:rPr>
                <w:rFonts w:asciiTheme="minorHAnsi" w:hAnsiTheme="minorHAnsi"/>
                <w:noProof/>
                <w:sz w:val="22"/>
              </w:rPr>
              <w:tab/>
            </w:r>
            <w:r>
              <w:rPr>
                <w:rStyle w:val="Hyperlink"/>
                <w:rFonts w:hint="eastAsia"/>
              </w:rPr>
              <w:t>专利估值结果</w:t>
            </w:r>
            <w:r>
              <w:tab/>
            </w:r>
            <w:r>
              <w:fldChar w:fldCharType="begin"/>
            </w:r>
            <w:r>
              <w:instrText xml:space="preserve"> PAGEREF _Toc256000002 \h </w:instrText>
            </w:r>
            <w:r>
              <w:fldChar w:fldCharType="separate"/>
            </w:r>
            <w:r>
              <w:t>1</w:t>
            </w:r>
            <w:r>
              <w:fldChar w:fldCharType="end"/>
            </w:r>
          </w:hyperlink>
        </w:p>
        <w:p>
          <w:pPr>
            <w:pStyle w:val="TOC1"/>
            <w:tabs>
              <w:tab w:val="left" w:pos="840"/>
              <w:tab w:val="right" w:pos="8296"/>
            </w:tabs>
            <w:rPr>
              <w:rFonts w:asciiTheme="minorHAnsi" w:hAnsiTheme="minorHAnsi"/>
              <w:noProof/>
              <w:sz w:val="22"/>
            </w:rPr>
          </w:pPr>
          <w:hyperlink w:anchor="_Toc256000003" w:history="1">
            <w:r>
              <w:rPr>
                <w:rStyle w:val="Hyperlink"/>
              </w:rPr>
              <w:t>2.</w:t>
            </w:r>
            <w:r>
              <w:rPr>
                <w:rFonts w:asciiTheme="minorHAnsi" w:hAnsiTheme="minorHAnsi"/>
                <w:noProof/>
                <w:sz w:val="22"/>
              </w:rPr>
              <w:tab/>
            </w:r>
            <w:r>
              <w:rPr>
                <w:rStyle w:val="Hyperlink"/>
                <w:rFonts w:hint="eastAsia"/>
              </w:rPr>
              <w:t>专利画像</w:t>
            </w:r>
            <w:r>
              <w:tab/>
            </w:r>
            <w:r>
              <w:fldChar w:fldCharType="begin"/>
            </w:r>
            <w:r>
              <w:instrText xml:space="preserve"> PAGEREF _Toc256000003 \h </w:instrText>
            </w:r>
            <w:r>
              <w:fldChar w:fldCharType="separate"/>
            </w:r>
            <w:r>
              <w:t>3</w:t>
            </w:r>
            <w:r>
              <w:fldChar w:fldCharType="end"/>
            </w:r>
          </w:hyperlink>
        </w:p>
        <w:p>
          <w:pPr>
            <w:pStyle w:val="TOC2"/>
            <w:tabs>
              <w:tab w:val="right" w:pos="8296"/>
            </w:tabs>
            <w:rPr>
              <w:rFonts w:asciiTheme="minorHAnsi" w:hAnsiTheme="minorHAnsi"/>
              <w:noProof/>
              <w:sz w:val="22"/>
            </w:rPr>
          </w:pPr>
          <w:hyperlink w:anchor="_Toc256000004" w:history="1">
            <w:r>
              <w:rPr>
                <w:rStyle w:val="Hyperlink"/>
              </w:rPr>
              <w:t>2.1</w:t>
            </w:r>
            <w:r>
              <w:rPr>
                <w:rStyle w:val="Hyperlink"/>
              </w:rPr>
              <w:t xml:space="preserve"> </w:t>
            </w:r>
            <w:r>
              <w:rPr>
                <w:rStyle w:val="Hyperlink"/>
                <w:rFonts w:hint="eastAsia"/>
              </w:rPr>
              <w:t>专利基本信息</w:t>
            </w:r>
            <w:r>
              <w:tab/>
            </w:r>
            <w:r>
              <w:fldChar w:fldCharType="begin"/>
            </w:r>
            <w:r>
              <w:instrText xml:space="preserve"> PAGEREF _Toc256000004 \h </w:instrText>
            </w:r>
            <w:r>
              <w:fldChar w:fldCharType="separate"/>
            </w:r>
            <w:r>
              <w:t>3</w:t>
            </w:r>
            <w:r>
              <w:fldChar w:fldCharType="end"/>
            </w:r>
          </w:hyperlink>
        </w:p>
        <w:p>
          <w:pPr>
            <w:pStyle w:val="TOC2"/>
            <w:tabs>
              <w:tab w:val="right" w:pos="8296"/>
            </w:tabs>
            <w:rPr>
              <w:rFonts w:asciiTheme="minorHAnsi" w:hAnsiTheme="minorHAnsi"/>
              <w:noProof/>
              <w:sz w:val="22"/>
            </w:rPr>
          </w:pPr>
          <w:hyperlink w:anchor="_Toc256000005" w:history="1">
            <w:r>
              <w:rPr>
                <w:rStyle w:val="Hyperlink"/>
              </w:rPr>
              <w:t>2.2</w:t>
            </w:r>
            <w:r>
              <w:rPr>
                <w:rStyle w:val="Hyperlink"/>
              </w:rPr>
              <w:t xml:space="preserve"> </w:t>
            </w:r>
            <w:r>
              <w:rPr>
                <w:rStyle w:val="Hyperlink"/>
                <w:rFonts w:hint="eastAsia"/>
              </w:rPr>
              <w:t>专利事务公告信息</w:t>
            </w:r>
            <w:r>
              <w:tab/>
            </w:r>
            <w:r>
              <w:fldChar w:fldCharType="begin"/>
            </w:r>
            <w:r>
              <w:instrText xml:space="preserve"> PAGEREF _Toc256000005 \h </w:instrText>
            </w:r>
            <w:r>
              <w:fldChar w:fldCharType="separate"/>
            </w:r>
            <w:r>
              <w:t>4</w:t>
            </w:r>
            <w:r>
              <w:fldChar w:fldCharType="end"/>
            </w:r>
          </w:hyperlink>
        </w:p>
        <w:p>
          <w:pPr>
            <w:pStyle w:val="TOC2"/>
            <w:tabs>
              <w:tab w:val="right" w:pos="8296"/>
            </w:tabs>
            <w:rPr>
              <w:rFonts w:asciiTheme="minorHAnsi" w:hAnsiTheme="minorHAnsi"/>
              <w:noProof/>
              <w:sz w:val="22"/>
            </w:rPr>
          </w:pPr>
          <w:hyperlink w:anchor="_Toc256000006" w:history="1">
            <w:r>
              <w:rPr>
                <w:rStyle w:val="Hyperlink"/>
              </w:rPr>
              <w:t>2.3</w:t>
            </w:r>
            <w:r>
              <w:rPr>
                <w:rStyle w:val="Hyperlink"/>
              </w:rPr>
              <w:t xml:space="preserve"> </w:t>
            </w:r>
            <w:r>
              <w:rPr>
                <w:rStyle w:val="Hyperlink"/>
                <w:rFonts w:hint="eastAsia"/>
              </w:rPr>
              <w:t>专利引证信息</w:t>
            </w:r>
            <w:r>
              <w:tab/>
            </w:r>
            <w:r>
              <w:fldChar w:fldCharType="begin"/>
            </w:r>
            <w:r>
              <w:instrText xml:space="preserve"> PAGEREF _Toc256000006 \h </w:instrText>
            </w:r>
            <w:r>
              <w:fldChar w:fldCharType="separate"/>
            </w:r>
            <w:r>
              <w:t>4</w:t>
            </w:r>
            <w:r>
              <w:fldChar w:fldCharType="end"/>
            </w:r>
          </w:hyperlink>
        </w:p>
        <w:p>
          <w:pPr>
            <w:pStyle w:val="TOC3"/>
            <w:tabs>
              <w:tab w:val="right" w:pos="8296"/>
            </w:tabs>
            <w:rPr>
              <w:rFonts w:asciiTheme="minorHAnsi" w:hAnsiTheme="minorHAnsi"/>
              <w:noProof/>
              <w:sz w:val="22"/>
            </w:rPr>
          </w:pPr>
          <w:hyperlink w:anchor="_Toc256000007" w:history="1">
            <w:r>
              <w:rPr>
                <w:rStyle w:val="Hyperlink"/>
              </w:rPr>
              <w:t>2.3.1</w:t>
            </w:r>
            <w:r>
              <w:rPr>
                <w:rStyle w:val="Hyperlink"/>
              </w:rPr>
              <w:t xml:space="preserve"> </w:t>
            </w:r>
            <w:r>
              <w:rPr>
                <w:rStyle w:val="Hyperlink"/>
                <w:rFonts w:hint="eastAsia"/>
              </w:rPr>
              <w:t>简单同族引证专利</w:t>
            </w:r>
            <w:r>
              <w:tab/>
            </w:r>
            <w:r>
              <w:fldChar w:fldCharType="begin"/>
            </w:r>
            <w:r>
              <w:instrText xml:space="preserve"> PAGEREF _Toc256000007 \h </w:instrText>
            </w:r>
            <w:r>
              <w:fldChar w:fldCharType="separate"/>
            </w:r>
            <w:r>
              <w:t>4</w:t>
            </w:r>
            <w:r>
              <w:fldChar w:fldCharType="end"/>
            </w:r>
          </w:hyperlink>
        </w:p>
        <w:p>
          <w:pPr>
            <w:pStyle w:val="TOC3"/>
            <w:tabs>
              <w:tab w:val="right" w:pos="8296"/>
            </w:tabs>
            <w:rPr>
              <w:rFonts w:asciiTheme="minorHAnsi" w:hAnsiTheme="minorHAnsi"/>
              <w:noProof/>
              <w:sz w:val="22"/>
            </w:rPr>
          </w:pPr>
          <w:hyperlink w:anchor="_Toc256000008" w:history="1">
            <w:r>
              <w:rPr>
                <w:rStyle w:val="Hyperlink"/>
                <w:rFonts w:hint="eastAsia"/>
              </w:rPr>
              <w:t>2.4.2 简单同族引证</w:t>
            </w:r>
            <w:r>
              <w:tab/>
            </w:r>
            <w:r>
              <w:fldChar w:fldCharType="begin"/>
            </w:r>
            <w:r>
              <w:instrText xml:space="preserve"> PAGEREF _Toc256000008 \h </w:instrText>
            </w:r>
            <w:r>
              <w:fldChar w:fldCharType="separate"/>
            </w:r>
            <w:r>
              <w:t>4</w:t>
            </w:r>
            <w:r>
              <w:fldChar w:fldCharType="end"/>
            </w:r>
          </w:hyperlink>
        </w:p>
        <w:p>
          <w:pPr>
            <w:pStyle w:val="TOC2"/>
            <w:tabs>
              <w:tab w:val="right" w:pos="8296"/>
            </w:tabs>
            <w:rPr>
              <w:rFonts w:asciiTheme="minorHAnsi" w:hAnsiTheme="minorHAnsi"/>
              <w:noProof/>
              <w:sz w:val="22"/>
            </w:rPr>
          </w:pPr>
          <w:hyperlink w:anchor="_Toc256000009" w:history="1">
            <w:r>
              <w:rPr>
                <w:rStyle w:val="Hyperlink"/>
              </w:rPr>
              <w:t>2.4</w:t>
            </w:r>
            <w:r>
              <w:rPr>
                <w:rStyle w:val="Hyperlink"/>
              </w:rPr>
              <w:t xml:space="preserve"> </w:t>
            </w:r>
            <w:r>
              <w:rPr>
                <w:rStyle w:val="Hyperlink"/>
                <w:rFonts w:hint="eastAsia"/>
              </w:rPr>
              <w:t>专利运营信息</w:t>
            </w:r>
            <w:r>
              <w:tab/>
            </w:r>
            <w:r>
              <w:fldChar w:fldCharType="begin"/>
            </w:r>
            <w:r>
              <w:instrText xml:space="preserve"> PAGEREF _Toc256000009 \h </w:instrText>
            </w:r>
            <w:r>
              <w:fldChar w:fldCharType="separate"/>
            </w:r>
            <w:r>
              <w:t>4</w:t>
            </w:r>
            <w:r>
              <w:fldChar w:fldCharType="end"/>
            </w:r>
          </w:hyperlink>
        </w:p>
        <w:p>
          <w:pPr>
            <w:pStyle w:val="TOC2"/>
            <w:tabs>
              <w:tab w:val="right" w:pos="8296"/>
            </w:tabs>
            <w:rPr>
              <w:rFonts w:asciiTheme="minorHAnsi" w:hAnsiTheme="minorHAnsi"/>
              <w:noProof/>
              <w:sz w:val="22"/>
            </w:rPr>
          </w:pPr>
          <w:hyperlink w:anchor="_Toc256000010" w:history="1">
            <w:r>
              <w:rPr>
                <w:rStyle w:val="Hyperlink"/>
              </w:rPr>
              <w:t>2.5</w:t>
            </w:r>
            <w:r>
              <w:rPr>
                <w:rStyle w:val="Hyperlink"/>
              </w:rPr>
              <w:t xml:space="preserve"> </w:t>
            </w:r>
            <w:r>
              <w:rPr>
                <w:rStyle w:val="Hyperlink"/>
                <w:rFonts w:hint="eastAsia"/>
              </w:rPr>
              <w:t>专利复审/无效/诉讼信息</w:t>
            </w:r>
            <w:r>
              <w:tab/>
            </w:r>
            <w:r>
              <w:fldChar w:fldCharType="begin"/>
            </w:r>
            <w:r>
              <w:instrText xml:space="preserve"> PAGEREF _Toc256000010 \h </w:instrText>
            </w:r>
            <w:r>
              <w:fldChar w:fldCharType="separate"/>
            </w:r>
            <w:r>
              <w:t>5</w:t>
            </w:r>
            <w:r>
              <w:fldChar w:fldCharType="end"/>
            </w:r>
          </w:hyperlink>
        </w:p>
        <w:p>
          <w:pPr>
            <w:pStyle w:val="TOC1"/>
            <w:tabs>
              <w:tab w:val="left" w:pos="840"/>
              <w:tab w:val="right" w:pos="8296"/>
            </w:tabs>
            <w:rPr>
              <w:rFonts w:asciiTheme="minorHAnsi" w:hAnsiTheme="minorHAnsi"/>
              <w:noProof/>
              <w:sz w:val="22"/>
            </w:rPr>
          </w:pPr>
          <w:hyperlink w:anchor="_Toc256000011" w:history="1">
            <w:r>
              <w:rPr>
                <w:rStyle w:val="Hyperlink"/>
              </w:rPr>
              <w:t>3.</w:t>
            </w:r>
            <w:r>
              <w:rPr>
                <w:rFonts w:asciiTheme="minorHAnsi" w:hAnsiTheme="minorHAnsi"/>
                <w:noProof/>
                <w:sz w:val="22"/>
              </w:rPr>
              <w:tab/>
            </w:r>
            <w:r>
              <w:rPr>
                <w:rStyle w:val="Hyperlink"/>
                <w:rFonts w:hint="eastAsia"/>
              </w:rPr>
              <w:t>专利评分详情</w:t>
            </w:r>
            <w:r>
              <w:tab/>
            </w:r>
            <w:r>
              <w:fldChar w:fldCharType="begin"/>
            </w:r>
            <w:r>
              <w:instrText xml:space="preserve"> PAGEREF _Toc256000011 \h </w:instrText>
            </w:r>
            <w:r>
              <w:fldChar w:fldCharType="separate"/>
            </w:r>
            <w:r>
              <w:t>5</w:t>
            </w:r>
            <w:r>
              <w:fldChar w:fldCharType="end"/>
            </w:r>
          </w:hyperlink>
        </w:p>
        <w:p>
          <w:pPr>
            <w:pStyle w:val="TOC2"/>
            <w:tabs>
              <w:tab w:val="right" w:pos="8296"/>
            </w:tabs>
            <w:rPr>
              <w:rFonts w:asciiTheme="minorHAnsi" w:hAnsiTheme="minorHAnsi"/>
              <w:noProof/>
              <w:sz w:val="22"/>
            </w:rPr>
          </w:pPr>
          <w:hyperlink w:anchor="_Toc256000012" w:history="1">
            <w:r>
              <w:rPr>
                <w:rStyle w:val="Hyperlink"/>
              </w:rPr>
              <w:t>3.1</w:t>
            </w:r>
            <w:r>
              <w:rPr>
                <w:rStyle w:val="Hyperlink"/>
              </w:rPr>
              <w:t xml:space="preserve"> </w:t>
            </w:r>
            <w:r>
              <w:rPr>
                <w:rStyle w:val="Hyperlink"/>
                <w:rFonts w:hint="eastAsia"/>
              </w:rPr>
              <w:t>法律价值评分详情</w:t>
            </w:r>
            <w:r>
              <w:tab/>
            </w:r>
            <w:r>
              <w:fldChar w:fldCharType="begin"/>
            </w:r>
            <w:r>
              <w:instrText xml:space="preserve"> PAGEREF _Toc256000012 \h </w:instrText>
            </w:r>
            <w:r>
              <w:fldChar w:fldCharType="separate"/>
            </w:r>
            <w:r>
              <w:t>5</w:t>
            </w:r>
            <w:r>
              <w:fldChar w:fldCharType="end"/>
            </w:r>
          </w:hyperlink>
        </w:p>
        <w:p>
          <w:pPr>
            <w:pStyle w:val="TOC2"/>
            <w:tabs>
              <w:tab w:val="right" w:pos="8296"/>
            </w:tabs>
            <w:rPr>
              <w:rFonts w:asciiTheme="minorHAnsi" w:hAnsiTheme="minorHAnsi"/>
              <w:noProof/>
              <w:sz w:val="22"/>
            </w:rPr>
          </w:pPr>
          <w:hyperlink w:anchor="_Toc256000013" w:history="1">
            <w:r>
              <w:rPr>
                <w:rStyle w:val="Hyperlink"/>
              </w:rPr>
              <w:t>3.2</w:t>
            </w:r>
            <w:r>
              <w:rPr>
                <w:rStyle w:val="Hyperlink"/>
              </w:rPr>
              <w:t xml:space="preserve"> </w:t>
            </w:r>
            <w:r>
              <w:rPr>
                <w:rStyle w:val="Hyperlink"/>
                <w:rFonts w:hint="eastAsia"/>
              </w:rPr>
              <w:t>技术价值评分详情</w:t>
            </w:r>
            <w:r>
              <w:tab/>
            </w:r>
            <w:r>
              <w:fldChar w:fldCharType="begin"/>
            </w:r>
            <w:r>
              <w:instrText xml:space="preserve"> PAGEREF _Toc256000013 \h </w:instrText>
            </w:r>
            <w:r>
              <w:fldChar w:fldCharType="separate"/>
            </w:r>
            <w:r>
              <w:t>6</w:t>
            </w:r>
            <w:r>
              <w:fldChar w:fldCharType="end"/>
            </w:r>
          </w:hyperlink>
        </w:p>
        <w:p>
          <w:pPr>
            <w:pStyle w:val="TOC2"/>
            <w:tabs>
              <w:tab w:val="right" w:pos="8296"/>
            </w:tabs>
            <w:rPr>
              <w:rFonts w:asciiTheme="minorHAnsi" w:hAnsiTheme="minorHAnsi"/>
              <w:noProof/>
              <w:sz w:val="22"/>
            </w:rPr>
          </w:pPr>
          <w:hyperlink w:anchor="_Toc256000014" w:history="1">
            <w:r>
              <w:rPr>
                <w:rStyle w:val="Hyperlink"/>
              </w:rPr>
              <w:t>3.3</w:t>
            </w:r>
            <w:r>
              <w:rPr>
                <w:rStyle w:val="Hyperlink"/>
              </w:rPr>
              <w:t xml:space="preserve"> </w:t>
            </w:r>
            <w:r>
              <w:rPr>
                <w:rStyle w:val="Hyperlink"/>
                <w:rFonts w:hint="eastAsia"/>
              </w:rPr>
              <w:t>市场价值评分详情</w:t>
            </w:r>
            <w:r>
              <w:tab/>
            </w:r>
            <w:r>
              <w:fldChar w:fldCharType="begin"/>
            </w:r>
            <w:r>
              <w:instrText xml:space="preserve"> PAGEREF _Toc256000014 \h </w:instrText>
            </w:r>
            <w:r>
              <w:fldChar w:fldCharType="separate"/>
            </w:r>
            <w:r>
              <w:t>7</w:t>
            </w:r>
            <w:r>
              <w:fldChar w:fldCharType="end"/>
            </w:r>
          </w:hyperlink>
        </w:p>
        <w:p>
          <w:pPr>
            <w:pStyle w:val="TOC2"/>
            <w:tabs>
              <w:tab w:val="right" w:pos="8296"/>
            </w:tabs>
            <w:rPr>
              <w:rFonts w:asciiTheme="minorHAnsi" w:hAnsiTheme="minorHAnsi"/>
              <w:noProof/>
              <w:sz w:val="22"/>
            </w:rPr>
          </w:pPr>
          <w:hyperlink w:anchor="_Toc256000015" w:history="1">
            <w:r>
              <w:rPr>
                <w:rStyle w:val="Hyperlink"/>
              </w:rPr>
              <w:t>3.4</w:t>
            </w:r>
            <w:r>
              <w:rPr>
                <w:rStyle w:val="Hyperlink"/>
              </w:rPr>
              <w:t xml:space="preserve"> </w:t>
            </w:r>
            <w:r>
              <w:rPr>
                <w:rStyle w:val="Hyperlink"/>
                <w:rFonts w:hint="eastAsia"/>
              </w:rPr>
              <w:t>战略价值评分详情</w:t>
            </w:r>
            <w:r>
              <w:tab/>
            </w:r>
            <w:r>
              <w:fldChar w:fldCharType="begin"/>
            </w:r>
            <w:r>
              <w:instrText xml:space="preserve"> PAGEREF _Toc256000015 \h </w:instrText>
            </w:r>
            <w:r>
              <w:fldChar w:fldCharType="separate"/>
            </w:r>
            <w:r>
              <w:t>8</w:t>
            </w:r>
            <w:r>
              <w:fldChar w:fldCharType="end"/>
            </w:r>
          </w:hyperlink>
        </w:p>
        <w:p>
          <w:pPr>
            <w:pStyle w:val="TOC1"/>
            <w:tabs>
              <w:tab w:val="left" w:pos="840"/>
              <w:tab w:val="right" w:pos="8296"/>
            </w:tabs>
            <w:rPr>
              <w:rFonts w:asciiTheme="minorHAnsi" w:hAnsiTheme="minorHAnsi"/>
              <w:noProof/>
              <w:sz w:val="22"/>
            </w:rPr>
          </w:pPr>
          <w:hyperlink w:anchor="_Toc256000016" w:history="1">
            <w:r>
              <w:rPr>
                <w:rStyle w:val="Hyperlink"/>
                <w:rFonts w:hint="eastAsia"/>
              </w:rPr>
              <w:t>4.</w:t>
            </w:r>
            <w:r>
              <w:rPr>
                <w:rFonts w:asciiTheme="minorHAnsi" w:hAnsiTheme="minorHAnsi" w:hint="eastAsia"/>
                <w:noProof/>
                <w:sz w:val="22"/>
              </w:rPr>
              <w:tab/>
            </w:r>
            <w:r>
              <w:rPr>
                <w:rStyle w:val="Hyperlink"/>
                <w:rFonts w:hint="eastAsia"/>
              </w:rPr>
              <w:t>领域分析</w:t>
            </w:r>
            <w:r>
              <w:tab/>
            </w:r>
            <w:r>
              <w:fldChar w:fldCharType="begin"/>
            </w:r>
            <w:r>
              <w:instrText xml:space="preserve"> PAGEREF _Toc256000016 \h </w:instrText>
            </w:r>
            <w:r>
              <w:fldChar w:fldCharType="separate"/>
            </w:r>
            <w:r>
              <w:t>8</w:t>
            </w:r>
            <w:r>
              <w:fldChar w:fldCharType="end"/>
            </w:r>
          </w:hyperlink>
        </w:p>
        <w:p>
          <w:pPr>
            <w:pStyle w:val="TOC2"/>
            <w:tabs>
              <w:tab w:val="right" w:pos="8296"/>
            </w:tabs>
            <w:rPr>
              <w:rFonts w:asciiTheme="minorHAnsi" w:hAnsiTheme="minorHAnsi"/>
              <w:noProof/>
              <w:sz w:val="22"/>
            </w:rPr>
          </w:pPr>
          <w:hyperlink w:anchor="_Toc256000017" w:history="1">
            <w:r>
              <w:rPr>
                <w:rStyle w:val="Hyperlink"/>
              </w:rPr>
              <w:t>4.1</w:t>
            </w:r>
            <w:r>
              <w:rPr>
                <w:rStyle w:val="Hyperlink"/>
              </w:rPr>
              <w:t xml:space="preserve"> </w:t>
            </w:r>
            <w:r>
              <w:rPr>
                <w:rStyle w:val="Hyperlink"/>
                <w:rFonts w:hint="eastAsia"/>
              </w:rPr>
              <w:t>市场价值度</w:t>
            </w:r>
            <w:r>
              <w:tab/>
            </w:r>
            <w:r>
              <w:fldChar w:fldCharType="begin"/>
            </w:r>
            <w:r>
              <w:instrText xml:space="preserve"> PAGEREF _Toc256000017 \h </w:instrText>
            </w:r>
            <w:r>
              <w:fldChar w:fldCharType="separate"/>
            </w:r>
            <w:r>
              <w:t>8</w:t>
            </w:r>
            <w:r>
              <w:fldChar w:fldCharType="end"/>
            </w:r>
          </w:hyperlink>
        </w:p>
        <w:p>
          <w:pPr>
            <w:pStyle w:val="TOC2"/>
            <w:tabs>
              <w:tab w:val="right" w:pos="8296"/>
            </w:tabs>
            <w:rPr>
              <w:rFonts w:asciiTheme="minorHAnsi" w:hAnsiTheme="minorHAnsi"/>
              <w:noProof/>
              <w:sz w:val="22"/>
            </w:rPr>
          </w:pPr>
          <w:hyperlink w:anchor="_Toc256000018" w:history="1">
            <w:r>
              <w:rPr>
                <w:rStyle w:val="Hyperlink"/>
              </w:rPr>
              <w:t>4.2</w:t>
            </w:r>
            <w:r>
              <w:rPr>
                <w:rStyle w:val="Hyperlink"/>
              </w:rPr>
              <w:t xml:space="preserve"> </w:t>
            </w:r>
            <w:r>
              <w:rPr>
                <w:rStyle w:val="Hyperlink"/>
                <w:rFonts w:hint="eastAsia"/>
              </w:rPr>
              <w:t>创造性高度</w:t>
            </w:r>
            <w:r>
              <w:tab/>
            </w:r>
            <w:r>
              <w:fldChar w:fldCharType="begin"/>
            </w:r>
            <w:r>
              <w:instrText xml:space="preserve"> PAGEREF _Toc256000018 \h </w:instrText>
            </w:r>
            <w:r>
              <w:fldChar w:fldCharType="separate"/>
            </w:r>
            <w:r>
              <w:t>9</w:t>
            </w:r>
            <w:r>
              <w:fldChar w:fldCharType="end"/>
            </w:r>
          </w:hyperlink>
        </w:p>
        <w:p>
          <w:r>
            <w:fldChar w:fldCharType="end"/>
          </w:r>
        </w:p>
      </w:sdtContent>
    </w:sdt>
    <w:p>
      <w:pPr>
        <w:rPr>
          <w:rFonts w:hint="eastAsia"/>
          <w:b/>
          <w:bCs/>
          <w:sz w:val="44"/>
          <w:szCs w:val="52"/>
          <w:lang w:val="en-US" w:eastAsia="zh-CN"/>
        </w:rPr>
        <w:sectPr>
          <w:headerReference w:type="default" r:id="rId7"/>
          <w:footerReference w:type="default" r:id="rId8"/>
          <w:footerReference w:type="first" r:id="rId9"/>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p>
      <w:pPr>
        <w:rPr>
          <w:rFonts w:hint="eastAsia"/>
          <w:b/>
          <w:bCs/>
          <w:sz w:val="44"/>
          <w:szCs w:val="52"/>
          <w:lang w:val="en-US" w:eastAsia="zh-CN"/>
        </w:rPr>
      </w:pPr>
    </w:p>
    <w:p>
      <w:pPr>
        <w:bidi w:val="0"/>
        <w:jc w:val="center"/>
        <w:rPr>
          <w:rFonts w:hint="eastAsia"/>
          <w:b/>
          <w:bCs/>
          <w:sz w:val="44"/>
          <w:szCs w:val="52"/>
          <w:lang w:val="en-US" w:eastAsia="zh-CN"/>
        </w:rPr>
      </w:pPr>
      <w:r>
        <w:rPr>
          <w:rFonts w:hint="eastAsia"/>
          <w:b/>
          <w:bCs/>
          <w:sz w:val="44"/>
          <w:szCs w:val="52"/>
          <w:lang w:val="en-US" w:eastAsia="zh-CN"/>
        </w:rPr>
        <w:t>专利价值评估报告</w:t>
      </w:r>
    </w:p>
    <w:p>
      <w:pPr>
        <w:pStyle w:val="Heading1"/>
        <w:numPr>
          <w:ilvl w:val="0"/>
          <w:numId w:val="1"/>
        </w:numPr>
        <w:bidi w:val="0"/>
        <w:ind w:left="425" w:hanging="425" w:leftChars="0" w:firstLineChars="0"/>
        <w:rPr>
          <w:rFonts w:hint="eastAsia"/>
          <w:color w:val="auto"/>
          <w:lang w:val="en-US" w:eastAsia="zh-CN"/>
        </w:rPr>
      </w:pPr>
      <w:bookmarkStart w:id="1" w:name="_Toc95415221"/>
      <w:bookmarkStart w:id="2" w:name="_Toc19409"/>
      <w:bookmarkStart w:id="3" w:name="_Toc256000000"/>
      <w:r>
        <w:rPr>
          <w:rFonts w:hint="eastAsia"/>
          <w:color w:val="auto"/>
          <w:lang w:val="en-US" w:eastAsia="zh-CN"/>
        </w:rPr>
        <w:t>专利评估结果概览</w:t>
      </w:r>
      <w:bookmarkEnd w:id="3"/>
      <w:bookmarkEnd w:id="2"/>
      <w:bookmarkEnd w:id="1"/>
    </w:p>
    <w:p>
      <w:pPr>
        <w:pStyle w:val="Heading2"/>
        <w:numPr>
          <w:ilvl w:val="1"/>
          <w:numId w:val="1"/>
        </w:numPr>
        <w:bidi w:val="0"/>
        <w:ind w:left="567" w:hanging="567" w:leftChars="0" w:firstLineChars="0"/>
        <w:rPr>
          <w:rFonts w:hint="default"/>
          <w:color w:val="auto"/>
          <w:lang w:val="en-US" w:eastAsia="zh-CN"/>
        </w:rPr>
      </w:pPr>
      <w:bookmarkStart w:id="4" w:name="_Toc95415222"/>
      <w:bookmarkStart w:id="5" w:name="_Toc3352"/>
      <w:bookmarkStart w:id="6" w:name="_Toc256000001"/>
      <w:r>
        <w:rPr>
          <w:rFonts w:hint="eastAsia"/>
          <w:color w:val="auto"/>
          <w:lang w:val="en-US" w:eastAsia="zh-CN"/>
        </w:rPr>
        <w:t>专利评分结果</w:t>
      </w:r>
      <w:bookmarkEnd w:id="6"/>
      <w:bookmarkEnd w:id="5"/>
      <w:bookmarkEnd w:id="4"/>
    </w:p>
    <w:tbl>
      <w:tblPr>
        <w:tblStyle w:val="TableGrid"/>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
      <w:tblGrid>
        <w:gridCol w:w="1281"/>
        <w:gridCol w:w="1403"/>
        <w:gridCol w:w="1499"/>
        <w:gridCol w:w="3938"/>
      </w:tblGrid>
      <w:tr>
        <w:tblPrEx>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Ex>
        <w:trPr>
          <w:trHeight w:val="408"/>
          <w:jc w:val="center"/>
        </w:trPr>
        <w:tc>
          <w:tcPr>
            <w:tcW w:w="1281"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1403"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本专利</w:t>
            </w:r>
          </w:p>
        </w:tc>
        <w:tc>
          <w:tcPr>
            <w:tcW w:w="1499"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领域平均</w:t>
            </w:r>
          </w:p>
        </w:tc>
        <w:tc>
          <w:tcPr>
            <w:tcW w:w="3938" w:type="dxa"/>
            <w:shd w:val="clear" w:color="auto" w:fill="BDD6EE" w:themeFill="accent1" w:themeFillTint="66"/>
            <w:vAlign w:val="center"/>
          </w:tcPr>
          <w:p>
            <w:pPr>
              <w:jc w:val="center"/>
              <w:rPr>
                <w:rFonts w:eastAsiaTheme="minorEastAsia" w:hint="eastAsia"/>
                <w:color w:val="auto"/>
                <w:lang w:val="en-US" w:eastAsia="zh-CN"/>
              </w:rPr>
            </w:pPr>
            <w:r>
              <w:rPr>
                <w:rFonts w:ascii="宋体" w:eastAsia="宋体" w:hAnsi="宋体" w:cs="宋体" w:hint="eastAsia"/>
                <w:b/>
                <w:bCs/>
                <w:i w:val="0"/>
                <w:iCs w:val="0"/>
                <w:color w:val="auto"/>
                <w:sz w:val="22"/>
                <w:szCs w:val="22"/>
                <w:u w:val="none"/>
                <w:lang w:val="en-US" w:eastAsia="zh-CN"/>
              </w:rPr>
              <w:t>雷达图</w:t>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综合评分</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bCs/>
                <w:color w:val="auto"/>
                <w:kern w:val="0"/>
                <w:sz w:val="22"/>
                <w:szCs w:val="22"/>
                <w:lang w:val="en-US" w:eastAsia="zh-CN" w:bidi="ar"/>
              </w:rPr>
            </w:pPr>
            <w:r>
              <w:rPr>
                <w:rFonts w:ascii="宋体" w:eastAsia="宋体" w:hAnsi="宋体" w:cs="宋体" w:hint="eastAsia"/>
                <w:b/>
                <w:bCs/>
                <w:color w:val="auto"/>
                <w:kern w:val="0"/>
                <w:sz w:val="22"/>
                <w:szCs w:val="22"/>
                <w:lang w:val="en-US" w:eastAsia="zh-CN" w:bidi="ar"/>
              </w:rPr>
              <w:t>72.44</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bCs/>
                <w:color w:val="auto"/>
                <w:kern w:val="0"/>
                <w:sz w:val="22"/>
                <w:szCs w:val="22"/>
                <w:lang w:val="en-US" w:eastAsia="zh-CN" w:bidi="ar"/>
              </w:rPr>
            </w:pPr>
            <w:r>
              <w:rPr>
                <w:rFonts w:ascii="宋体" w:eastAsia="宋体" w:hAnsi="宋体" w:cs="宋体" w:hint="eastAsia"/>
                <w:b/>
                <w:bCs/>
                <w:color w:val="auto"/>
                <w:kern w:val="0"/>
                <w:sz w:val="22"/>
                <w:szCs w:val="22"/>
                <w:lang w:val="en-US" w:eastAsia="zh-CN" w:bidi="ar"/>
              </w:rPr>
              <w:t>70.52</w:t>
            </w:r>
          </w:p>
        </w:tc>
        <w:tc>
          <w:tcPr>
            <w:tcW w:w="3938" w:type="dxa"/>
            <w:vMerge w:val="restart"/>
            <w:shd w:val="clear" w:color="auto" w:fill="FFFFFF" w:themeFill="background1"/>
            <w:vAlign w:val="center"/>
          </w:tcPr>
          <w:p>
            <w:pPr>
              <w:jc w:val="center"/>
              <w:rPr>
                <w:rFonts w:hint="default"/>
                <w:color w:val="auto"/>
                <w:vertAlign w:val="baseline"/>
                <w:lang w:val="en-US" w:eastAsia="zh-CN"/>
              </w:rPr>
            </w:pPr>
          </w:p>
          <w:p>
            <w:pPr>
              <w:jc w:val="center"/>
            </w:pPr>
            <w:r>
              <w:drawing>
                <wp:inline distT="0" distB="0" distL="0" distR="0">
                  <wp:extent cx="2222500" cy="2342173"/>
                  <wp:effectExtent l="0" t="0" r="0" b="0"/>
                  <wp:docPr id="7846487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48750" name=""/>
                          <pic:cNvPicPr/>
                        </pic:nvPicPr>
                        <pic:blipFill>
                          <a:blip xmlns:r="http://schemas.openxmlformats.org/officeDocument/2006/relationships" r:embed="rId10"/>
                          <a:stretch>
                            <a:fillRect/>
                          </a:stretch>
                        </pic:blipFill>
                        <pic:spPr>
                          <a:xfrm>
                            <a:off x="0" y="0"/>
                            <a:ext cx="2222500" cy="2342173"/>
                          </a:xfrm>
                          <a:prstGeom prst="rect">
                            <a:avLst/>
                          </a:prstGeom>
                        </pic:spPr>
                      </pic:pic>
                    </a:graphicData>
                  </a:graphic>
                </wp:inline>
              </w:drawing>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法律价值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72.8</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65.96</w:t>
            </w:r>
          </w:p>
        </w:tc>
        <w:tc>
          <w:tcPr>
            <w:tcW w:w="3938" w:type="dxa"/>
            <w:vMerge/>
            <w:shd w:val="clear" w:color="auto" w:fill="FFFFFF" w:themeFill="background1"/>
            <w:vAlign w:val="center"/>
          </w:tcPr>
          <w:p>
            <w:pPr>
              <w:jc w:val="center"/>
              <w:rPr>
                <w:rFonts w:hint="eastAsia"/>
                <w:color w:val="auto"/>
                <w:vertAlign w:val="baseline"/>
                <w:lang w:val="en-US" w:eastAsia="zh-CN"/>
              </w:rPr>
            </w:pP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技术价值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86.66</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83.36</w:t>
            </w:r>
          </w:p>
        </w:tc>
        <w:tc>
          <w:tcPr>
            <w:tcW w:w="3938" w:type="dxa"/>
            <w:vMerge/>
            <w:shd w:val="clear" w:color="auto" w:fill="FFFFFF" w:themeFill="background1"/>
            <w:vAlign w:val="center"/>
          </w:tcPr>
          <w:p>
            <w:pPr>
              <w:jc w:val="center"/>
              <w:rPr>
                <w:rFonts w:hint="eastAsia"/>
                <w:color w:val="auto"/>
                <w:vertAlign w:val="baseline"/>
                <w:lang w:val="en-US" w:eastAsia="zh-CN"/>
              </w:rPr>
            </w:pP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市场价值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68.36</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64.69</w:t>
            </w:r>
          </w:p>
        </w:tc>
        <w:tc>
          <w:tcPr>
            <w:tcW w:w="3938" w:type="dxa"/>
            <w:vMerge/>
            <w:shd w:val="clear" w:color="auto" w:fill="FFFFFF" w:themeFill="background1"/>
            <w:vAlign w:val="center"/>
          </w:tcPr>
          <w:p>
            <w:pPr>
              <w:jc w:val="center"/>
              <w:rPr>
                <w:rFonts w:hint="eastAsia"/>
                <w:color w:val="auto"/>
                <w:vertAlign w:val="baseline"/>
                <w:lang w:val="en-US" w:eastAsia="zh-CN"/>
              </w:rPr>
            </w:pP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战略价值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61.94</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59.04</w:t>
            </w:r>
          </w:p>
        </w:tc>
        <w:tc>
          <w:tcPr>
            <w:tcW w:w="3938" w:type="dxa"/>
            <w:vMerge/>
            <w:shd w:val="clear" w:color="auto" w:fill="FFFFFF" w:themeFill="background1"/>
            <w:vAlign w:val="center"/>
          </w:tcPr>
          <w:p>
            <w:pPr>
              <w:jc w:val="center"/>
              <w:rPr>
                <w:rFonts w:hint="eastAsia"/>
                <w:color w:val="auto"/>
                <w:vertAlign w:val="baseline"/>
                <w:lang w:val="en-US" w:eastAsia="zh-CN"/>
              </w:rPr>
            </w:pPr>
          </w:p>
        </w:tc>
      </w:tr>
    </w:tbl>
    <w:p>
      <w:pPr>
        <w:pStyle w:val="Heading2"/>
        <w:numPr>
          <w:ilvl w:val="1"/>
          <w:numId w:val="1"/>
        </w:numPr>
        <w:bidi w:val="0"/>
        <w:ind w:left="567" w:hanging="567" w:leftChars="0" w:firstLineChars="0"/>
        <w:rPr>
          <w:rFonts w:hint="default"/>
          <w:color w:val="auto"/>
          <w:lang w:val="en-US" w:eastAsia="zh-CN"/>
        </w:rPr>
      </w:pPr>
      <w:bookmarkStart w:id="7" w:name="_Toc95415223"/>
      <w:bookmarkStart w:id="8" w:name="_Toc15233"/>
      <w:bookmarkStart w:id="9" w:name="_Toc256000002"/>
      <w:r>
        <w:rPr>
          <w:rFonts w:hint="eastAsia"/>
          <w:color w:val="auto"/>
          <w:lang w:val="en-US" w:eastAsia="zh-CN"/>
        </w:rPr>
        <w:t>专利估值结果</w:t>
      </w:r>
      <w:bookmarkEnd w:id="9"/>
      <w:bookmarkEnd w:id="8"/>
      <w:bookmarkEnd w:id="7"/>
    </w:p>
    <w:p>
      <w:pPr>
        <w:rPr>
          <w:color w:val="auto"/>
        </w:rPr>
      </w:pPr>
    </w:p>
    <w:tbl>
      <w:tblPr>
        <w:tblStyle w:val="TableGrid"/>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
      <w:tblGrid>
        <w:gridCol w:w="2190"/>
        <w:gridCol w:w="2616"/>
        <w:gridCol w:w="3315"/>
      </w:tblGrid>
      <w:tr>
        <w:tblPrEx>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Ex>
        <w:trPr>
          <w:trHeight w:val="635"/>
          <w:jc w:val="center"/>
        </w:trPr>
        <w:tc>
          <w:tcPr>
            <w:tcW w:w="2190" w:type="dxa"/>
            <w:shd w:val="clear" w:color="auto" w:fill="BDD6EE" w:themeFill="accent1" w:themeFillTint="66"/>
            <w:vAlign w:val="center"/>
          </w:tcPr>
          <w:p>
            <w:pPr>
              <w:jc w:val="center"/>
              <w:rPr>
                <w:rFonts w:hint="default"/>
                <w:color w:val="auto"/>
                <w:vertAlign w:val="baseline"/>
                <w:lang w:val="en-US" w:eastAsia="zh-CN"/>
              </w:rPr>
            </w:pPr>
            <w:r>
              <w:rPr>
                <w:rFonts w:hint="eastAsia"/>
                <w:color w:val="auto"/>
                <w:vertAlign w:val="baseline"/>
                <w:lang w:val="en-US" w:eastAsia="zh-CN"/>
              </w:rPr>
              <w:t>币种：人民币</w:t>
            </w:r>
          </w:p>
        </w:tc>
        <w:tc>
          <w:tcPr>
            <w:tcW w:w="261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本专利</w:t>
            </w:r>
          </w:p>
        </w:tc>
        <w:tc>
          <w:tcPr>
            <w:tcW w:w="3315"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领域平均</w:t>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2190"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当前估值</w:t>
            </w:r>
          </w:p>
        </w:tc>
        <w:tc>
          <w:tcPr>
            <w:tcW w:w="2616"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val="0"/>
                <w:bCs w:val="0"/>
                <w:color w:val="auto"/>
                <w:kern w:val="0"/>
                <w:sz w:val="22"/>
                <w:szCs w:val="22"/>
                <w:lang w:val="en-US" w:eastAsia="zh-CN" w:bidi="ar"/>
              </w:rPr>
              <w:t>48.01</w:t>
            </w:r>
            <w:r>
              <w:rPr>
                <w:rFonts w:hint="eastAsia"/>
                <w:color w:val="auto"/>
                <w:vertAlign w:val="baseline"/>
                <w:lang w:val="en-US" w:eastAsia="zh-CN"/>
              </w:rPr>
              <w:t>万元</w:t>
            </w:r>
          </w:p>
        </w:tc>
        <w:tc>
          <w:tcPr>
            <w:tcW w:w="3315" w:type="dxa"/>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val="0"/>
                <w:bCs w:val="0"/>
                <w:color w:val="auto"/>
                <w:kern w:val="0"/>
                <w:sz w:val="22"/>
                <w:szCs w:val="22"/>
                <w:lang w:val="en-US" w:eastAsia="zh-CN" w:bidi="ar"/>
              </w:rPr>
              <w:t>30.33</w:t>
            </w:r>
            <w:r>
              <w:rPr>
                <w:rFonts w:hint="eastAsia"/>
                <w:color w:val="auto"/>
                <w:vertAlign w:val="baseline"/>
                <w:lang w:val="en-US" w:eastAsia="zh-CN"/>
              </w:rPr>
              <w:t>万元</w:t>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2190"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最高估值</w:t>
            </w:r>
          </w:p>
        </w:tc>
        <w:tc>
          <w:tcPr>
            <w:tcW w:w="2616"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val="0"/>
                <w:bCs w:val="0"/>
                <w:color w:val="auto"/>
                <w:kern w:val="0"/>
                <w:sz w:val="22"/>
                <w:szCs w:val="22"/>
                <w:lang w:val="en-US" w:eastAsia="zh-CN" w:bidi="ar"/>
              </w:rPr>
              <w:t>78.7</w:t>
            </w:r>
            <w:r>
              <w:rPr>
                <w:rFonts w:hint="eastAsia"/>
                <w:color w:val="auto"/>
                <w:vertAlign w:val="baseline"/>
                <w:lang w:val="en-US" w:eastAsia="zh-CN"/>
              </w:rPr>
              <w:t>万元</w:t>
            </w:r>
          </w:p>
        </w:tc>
        <w:tc>
          <w:tcPr>
            <w:tcW w:w="3315"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bookmarkStart w:id="10" w:name="_GoBack"/>
            <w:bookmarkEnd w:id="10"/>
            <w:r>
              <w:rPr>
                <w:rFonts w:ascii="宋体" w:eastAsia="宋体" w:hAnsi="宋体" w:cs="宋体" w:hint="eastAsia"/>
                <w:b w:val="0"/>
                <w:bCs w:val="0"/>
                <w:color w:val="auto"/>
                <w:kern w:val="0"/>
                <w:sz w:val="22"/>
                <w:szCs w:val="22"/>
                <w:lang w:val="en-US" w:eastAsia="zh-CN" w:bidi="ar"/>
              </w:rPr>
              <w:t>81.62万元</w:t>
            </w:r>
          </w:p>
        </w:tc>
      </w:tr>
    </w:tbl>
    <w:p>
      <w:pPr>
        <w:jc w:val="left"/>
        <w:rPr>
          <w:rFonts w:ascii="宋体" w:eastAsia="宋体" w:hAnsi="宋体" w:cs="宋体" w:hint="eastAsia"/>
          <w:b/>
          <w:bCs/>
          <w:color w:val="auto"/>
          <w:kern w:val="0"/>
          <w:sz w:val="18"/>
          <w:szCs w:val="18"/>
          <w:lang w:val="en-US" w:eastAsia="zh-CN" w:bidi="ar"/>
        </w:rPr>
      </w:pPr>
    </w:p>
    <w:p>
      <w:pPr>
        <w:jc w:val="left"/>
        <w:rPr>
          <w:rFonts w:ascii="宋体" w:eastAsia="宋体" w:hAnsi="宋体" w:cs="宋体" w:hint="eastAsia"/>
          <w:b/>
          <w:bCs/>
          <w:color w:val="auto"/>
          <w:kern w:val="0"/>
          <w:sz w:val="18"/>
          <w:szCs w:val="18"/>
          <w:lang w:val="en-US" w:eastAsia="zh-CN" w:bidi="ar"/>
        </w:rPr>
      </w:pPr>
      <w:r>
        <w:rPr>
          <w:rFonts w:ascii="宋体" w:eastAsia="宋体" w:hAnsi="宋体" w:cs="宋体" w:hint="eastAsia"/>
          <w:b/>
          <w:bCs/>
          <w:color w:val="auto"/>
          <w:kern w:val="0"/>
          <w:sz w:val="18"/>
          <w:szCs w:val="18"/>
          <w:lang w:val="en-US" w:eastAsia="zh-CN" w:bidi="ar"/>
        </w:rPr>
        <w:t>专利评分依据：</w:t>
      </w:r>
    </w:p>
    <w:p>
      <w:pPr>
        <w:numPr>
          <w:ilvl w:val="0"/>
          <w:numId w:val="2"/>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从法律价值、经济价值、技术价值以及战略价值四个层面对企业专利进行分析，采用对以上四个方面具有影响的40余个专利指标参数，将参数进行归一化处理，根据各参数的重要程度，采用层次分析法（AHP）对专利进行评分，并对结果进行一致性校验。</w:t>
      </w:r>
    </w:p>
    <w:p>
      <w:pPr>
        <w:numPr>
          <w:ilvl w:val="0"/>
          <w:numId w:val="2"/>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AHP层次分析法是将定量分析与定性分析结合起来，用决策者的经验判断各衡量目标之间能否实现的标准之间的相对重要程度，并合理地给出每个决策方案的每个标准的权数，利用权数求出各方案的优劣次序，比较有效地应用于那些难以用定量方法解决的课题，已被广泛应用于专利价值评估中。</w:t>
      </w:r>
    </w:p>
    <w:p>
      <w:pPr>
        <w:jc w:val="left"/>
        <w:rPr>
          <w:rFonts w:ascii="宋体" w:eastAsia="宋体" w:hAnsi="宋体" w:cs="宋体" w:hint="eastAsia"/>
          <w:b/>
          <w:bCs/>
          <w:color w:val="auto"/>
          <w:kern w:val="0"/>
          <w:sz w:val="18"/>
          <w:szCs w:val="18"/>
          <w:lang w:val="en-US" w:eastAsia="zh-CN" w:bidi="ar"/>
        </w:rPr>
      </w:pPr>
      <w:r>
        <w:rPr>
          <w:rFonts w:ascii="宋体" w:eastAsia="宋体" w:hAnsi="宋体" w:cs="宋体" w:hint="eastAsia"/>
          <w:b/>
          <w:bCs/>
          <w:color w:val="auto"/>
          <w:kern w:val="0"/>
          <w:sz w:val="18"/>
          <w:szCs w:val="18"/>
          <w:lang w:val="en-US" w:eastAsia="zh-CN" w:bidi="ar"/>
        </w:rPr>
        <w:t>专利估值依据：</w:t>
      </w:r>
    </w:p>
    <w:p>
      <w:pPr>
        <w:numPr>
          <w:ilvl w:val="0"/>
          <w:numId w:val="3"/>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根据本专利所属的技术领域获取该领域发生许可专利平均分，和国家知识产权局发布的《</w:t>
      </w:r>
      <w:hyperlink r:id="rId11" w:history="1">
        <w:r>
          <w:rPr>
            <w:rStyle w:val="Hyperlink"/>
            <w:rFonts w:ascii="宋体" w:eastAsia="宋体" w:hAnsi="宋体" w:cs="宋体" w:hint="eastAsia"/>
            <w:kern w:val="0"/>
            <w:sz w:val="18"/>
            <w:szCs w:val="18"/>
            <w:lang w:val="en-US" w:eastAsia="zh-CN" w:bidi="ar"/>
          </w:rPr>
          <w:t>“十三五”国民经济行业（门类）专利实施许可统计表</w:t>
        </w:r>
      </w:hyperlink>
      <w:r>
        <w:rPr>
          <w:rFonts w:ascii="宋体" w:eastAsia="宋体" w:hAnsi="宋体" w:cs="宋体" w:hint="eastAsia"/>
          <w:color w:val="auto"/>
          <w:kern w:val="0"/>
          <w:sz w:val="18"/>
          <w:szCs w:val="18"/>
          <w:lang w:val="en-US" w:eastAsia="zh-CN" w:bidi="ar"/>
        </w:rPr>
        <w:t>》中各领域专利平均年许可费对本专利进行估值。</w:t>
      </w:r>
    </w:p>
    <w:p>
      <w:pPr>
        <w:numPr>
          <w:ilvl w:val="0"/>
          <w:numId w:val="3"/>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根据专利评分分布情况和获得评分的难易程度，以该领域许可专利平均分和平均许可年费为基准，预估本专利许可年费。</w:t>
      </w:r>
    </w:p>
    <w:p>
      <w:pPr>
        <w:numPr>
          <w:ilvl w:val="0"/>
          <w:numId w:val="3"/>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根据本专利最高有效期和剩余有效期以及预估的许可年费，对本专利进行估值。</w:t>
      </w:r>
    </w:p>
    <w:p>
      <w:pPr>
        <w:numPr>
          <w:ilvl w:val="0"/>
          <w:numId w:val="0"/>
        </w:numPr>
        <w:bidi w:val="0"/>
        <w:rPr>
          <w:rFonts w:ascii="宋体" w:eastAsia="宋体" w:hAnsi="宋体" w:cs="宋体" w:hint="default"/>
          <w:color w:val="auto"/>
          <w:kern w:val="0"/>
          <w:sz w:val="22"/>
          <w:szCs w:val="22"/>
          <w:lang w:val="en-US" w:eastAsia="zh-CN" w:bidi="ar"/>
        </w:rPr>
        <w:sectPr>
          <w:headerReference w:type="default" r:id="rId12"/>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decimal" w:start="1"/>
          <w:cols w:num="1" w:space="425"/>
          <w:docGrid w:type="lines" w:linePitch="312" w:charSpace="0"/>
        </w:sectPr>
      </w:pPr>
    </w:p>
    <w:p>
      <w:pPr>
        <w:pStyle w:val="Heading1"/>
        <w:numPr>
          <w:ilvl w:val="0"/>
          <w:numId w:val="4"/>
        </w:numPr>
        <w:bidi w:val="0"/>
        <w:rPr>
          <w:rFonts w:hint="default"/>
          <w:color w:val="auto"/>
          <w:lang w:val="en-US" w:eastAsia="zh-CN"/>
        </w:rPr>
      </w:pPr>
      <w:bookmarkStart w:id="11" w:name="_Toc95415224"/>
      <w:bookmarkStart w:id="12" w:name="_Toc28221"/>
      <w:bookmarkStart w:id="13" w:name="_Toc256000003"/>
      <w:r>
        <w:rPr>
          <w:rFonts w:hint="eastAsia"/>
          <w:color w:val="auto"/>
          <w:lang w:val="en-US" w:eastAsia="zh-CN"/>
        </w:rPr>
        <w:t>专利画像</w:t>
      </w:r>
      <w:bookmarkEnd w:id="13"/>
      <w:bookmarkEnd w:id="12"/>
      <w:bookmarkEnd w:id="11"/>
    </w:p>
    <w:p>
      <w:pPr>
        <w:pStyle w:val="Heading2"/>
        <w:numPr>
          <w:ilvl w:val="1"/>
          <w:numId w:val="4"/>
        </w:numPr>
        <w:bidi w:val="0"/>
        <w:rPr>
          <w:rFonts w:hint="default"/>
          <w:color w:val="auto"/>
          <w:lang w:val="en-US" w:eastAsia="zh-CN"/>
        </w:rPr>
      </w:pPr>
      <w:bookmarkStart w:id="14" w:name="_Toc95415225"/>
      <w:bookmarkStart w:id="15" w:name="_Toc7698"/>
      <w:bookmarkStart w:id="16" w:name="_Toc256000004"/>
      <w:r>
        <w:rPr>
          <w:rFonts w:hint="eastAsia"/>
          <w:color w:val="auto"/>
          <w:lang w:val="en-US" w:eastAsia="zh-CN"/>
        </w:rPr>
        <w:t>专利基本信息</w:t>
      </w:r>
      <w:bookmarkEnd w:id="16"/>
      <w:bookmarkEnd w:id="15"/>
      <w:bookmarkEnd w:id="14"/>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23"/>
        <w:gridCol w:w="3611"/>
        <w:gridCol w:w="1370"/>
        <w:gridCol w:w="206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名称</w:t>
            </w:r>
          </w:p>
        </w:tc>
        <w:tc>
          <w:tcPr>
            <w:tcW w:w="7046" w:type="dxa"/>
            <w:gridSpan w:val="3"/>
            <w:vAlign w:val="center"/>
          </w:tcPr>
          <w:p>
            <w:pPr>
              <w:bidi w:val="0"/>
              <w:rPr>
                <w:rFonts w:eastAsiaTheme="minorEastAsia" w:hint="default"/>
                <w:lang w:val="en-US" w:eastAsia="zh-CN"/>
              </w:rPr>
            </w:pPr>
            <w:r>
              <w:rPr>
                <w:rFonts w:hint="eastAsia"/>
                <w:lang w:val="en-US" w:eastAsia="zh-CN"/>
              </w:rPr>
              <w:t>一种抗HIC管道用钢及其制备方法</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公开号</w:t>
            </w:r>
          </w:p>
        </w:tc>
        <w:tc>
          <w:tcPr>
            <w:tcW w:w="3611" w:type="dxa"/>
            <w:vAlign w:val="center"/>
          </w:tcPr>
          <w:p>
            <w:pPr>
              <w:bidi w:val="0"/>
              <w:rPr>
                <w:rFonts w:eastAsiaTheme="minorEastAsia" w:hint="default"/>
                <w:lang w:val="en-US" w:eastAsia="zh-CN"/>
              </w:rPr>
            </w:pPr>
            <w:r>
              <w:rPr>
                <w:rFonts w:hint="eastAsia"/>
                <w:lang w:val="en-US" w:eastAsia="zh-CN"/>
              </w:rPr>
              <w:t>CN111471935B</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公开日</w:t>
            </w:r>
          </w:p>
        </w:tc>
        <w:tc>
          <w:tcPr>
            <w:tcW w:w="2065" w:type="dxa"/>
            <w:vAlign w:val="center"/>
          </w:tcPr>
          <w:p>
            <w:pPr>
              <w:bidi w:val="0"/>
              <w:rPr>
                <w:rFonts w:eastAsiaTheme="minorEastAsia" w:hint="default"/>
                <w:lang w:val="en-US" w:eastAsia="zh-CN"/>
              </w:rPr>
            </w:pPr>
            <w:r>
              <w:rPr>
                <w:rFonts w:hint="eastAsia"/>
                <w:lang w:val="en-US" w:eastAsia="zh-CN"/>
              </w:rPr>
              <w:t>2021年03月26日</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申请号</w:t>
            </w:r>
          </w:p>
        </w:tc>
        <w:tc>
          <w:tcPr>
            <w:tcW w:w="3611" w:type="dxa"/>
            <w:vAlign w:val="center"/>
          </w:tcPr>
          <w:p>
            <w:pPr>
              <w:bidi w:val="0"/>
              <w:rPr>
                <w:rFonts w:eastAsiaTheme="minorEastAsia" w:hint="default"/>
                <w:lang w:val="en-US" w:eastAsia="zh-CN"/>
              </w:rPr>
            </w:pPr>
            <w:r>
              <w:rPr>
                <w:rFonts w:hint="eastAsia"/>
                <w:lang w:val="en-US" w:eastAsia="zh-CN"/>
              </w:rPr>
              <w:t>CN202010410385.4</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申请日</w:t>
            </w:r>
          </w:p>
        </w:tc>
        <w:tc>
          <w:tcPr>
            <w:tcW w:w="2065" w:type="dxa"/>
            <w:vAlign w:val="center"/>
          </w:tcPr>
          <w:p>
            <w:pPr>
              <w:bidi w:val="0"/>
              <w:rPr>
                <w:rFonts w:eastAsiaTheme="minorEastAsia" w:hint="default"/>
                <w:lang w:val="en-US" w:eastAsia="zh-CN"/>
              </w:rPr>
            </w:pPr>
            <w:r>
              <w:rPr>
                <w:rFonts w:hint="eastAsia"/>
                <w:lang w:val="en-US" w:eastAsia="zh-CN"/>
              </w:rPr>
              <w:t>2020年05月15日</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优先权</w:t>
            </w:r>
          </w:p>
        </w:tc>
        <w:tc>
          <w:tcPr>
            <w:tcW w:w="3611" w:type="dxa"/>
            <w:vAlign w:val="center"/>
          </w:tcPr>
          <w:p>
            <w:pPr>
              <w:bidi w:val="0"/>
              <w:rPr>
                <w:rFonts w:eastAsiaTheme="minorEastAsia" w:hint="default"/>
                <w:lang w:val="en-US" w:eastAsia="zh-CN"/>
              </w:rPr>
            </w:pP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法律状态</w:t>
            </w:r>
          </w:p>
        </w:tc>
        <w:tc>
          <w:tcPr>
            <w:tcW w:w="2065" w:type="dxa"/>
            <w:vAlign w:val="center"/>
          </w:tcPr>
          <w:p>
            <w:pPr>
              <w:bidi w:val="0"/>
              <w:rPr>
                <w:rFonts w:eastAsiaTheme="minorEastAsia" w:hint="default"/>
                <w:lang w:val="en-US" w:eastAsia="zh-CN"/>
              </w:rPr>
            </w:pPr>
            <w:r>
              <w:rPr>
                <w:rFonts w:hint="eastAsia"/>
                <w:lang w:val="en-US" w:eastAsia="zh-CN"/>
              </w:rPr>
              <w:t>有效</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申请人</w:t>
            </w:r>
          </w:p>
        </w:tc>
        <w:tc>
          <w:tcPr>
            <w:tcW w:w="3611" w:type="dxa"/>
            <w:vAlign w:val="center"/>
          </w:tcPr>
          <w:p>
            <w:pPr>
              <w:bidi w:val="0"/>
              <w:rPr>
                <w:rFonts w:eastAsiaTheme="minorEastAsia" w:hint="default"/>
                <w:lang w:val="en-US" w:eastAsia="zh-CN"/>
              </w:rPr>
            </w:pPr>
            <w:r>
              <w:rPr>
                <w:rFonts w:hint="eastAsia"/>
                <w:lang w:val="en-US" w:eastAsia="zh-CN"/>
              </w:rPr>
              <w:t>佛山科学技术学院,佛山环境与能源研究院,云浮(佛山)氢能标准化创新研发中心,广东氢标科技有限公司</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发明人</w:t>
            </w:r>
          </w:p>
        </w:tc>
        <w:tc>
          <w:tcPr>
            <w:tcW w:w="2065" w:type="dxa"/>
            <w:vAlign w:val="center"/>
          </w:tcPr>
          <w:p>
            <w:pPr>
              <w:bidi w:val="0"/>
              <w:rPr>
                <w:rFonts w:eastAsiaTheme="minorEastAsia" w:hint="default"/>
                <w:lang w:val="en-US" w:eastAsia="zh-CN"/>
              </w:rPr>
            </w:pPr>
            <w:r>
              <w:rPr>
                <w:rFonts w:hint="eastAsia"/>
                <w:lang w:val="en-US" w:eastAsia="zh-CN"/>
              </w:rPr>
              <w:t>聂宝华,赵吉诗,陈东初,赵连玉,王子缘</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代理机构</w:t>
            </w:r>
          </w:p>
        </w:tc>
        <w:tc>
          <w:tcPr>
            <w:tcW w:w="3611" w:type="dxa"/>
            <w:vAlign w:val="center"/>
          </w:tcPr>
          <w:p>
            <w:pPr>
              <w:bidi w:val="0"/>
              <w:rPr>
                <w:rFonts w:hint="default"/>
                <w:lang w:val="en-US" w:eastAsia="zh-CN"/>
              </w:rPr>
            </w:pPr>
            <w:r>
              <w:rPr>
                <w:rFonts w:hint="eastAsia"/>
                <w:lang w:val="en-US" w:eastAsia="zh-CN"/>
              </w:rPr>
              <w:t>广州嘉权专利商标事务所有限公司</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代理人</w:t>
            </w:r>
          </w:p>
        </w:tc>
        <w:tc>
          <w:tcPr>
            <w:tcW w:w="2065" w:type="dxa"/>
            <w:vAlign w:val="center"/>
          </w:tcPr>
          <w:p>
            <w:pPr>
              <w:bidi w:val="0"/>
              <w:rPr>
                <w:rFonts w:eastAsiaTheme="minorEastAsia" w:hint="default"/>
                <w:lang w:val="en-US" w:eastAsia="zh-CN"/>
              </w:rPr>
            </w:pPr>
            <w:r>
              <w:rPr>
                <w:rFonts w:hint="eastAsia"/>
                <w:lang w:val="en-US" w:eastAsia="zh-CN"/>
              </w:rPr>
              <w:t>邓建辉</w:t>
            </w:r>
          </w:p>
        </w:tc>
      </w:tr>
      <w:tr>
        <w:tblPrEx>
          <w:tblW w:w="0" w:type="auto"/>
          <w:tblInd w:w="0" w:type="dxa"/>
          <w:tblLayout w:type="fixed"/>
          <w:tblCellMar>
            <w:top w:w="0" w:type="dxa"/>
            <w:left w:w="108" w:type="dxa"/>
            <w:bottom w:w="0" w:type="dxa"/>
            <w:right w:w="108" w:type="dxa"/>
          </w:tblCellMar>
        </w:tblPrEx>
        <w:trPr>
          <w:trHeight w:val="521"/>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IPC分类</w:t>
            </w:r>
          </w:p>
        </w:tc>
        <w:tc>
          <w:tcPr>
            <w:tcW w:w="7046" w:type="dxa"/>
            <w:gridSpan w:val="3"/>
            <w:vAlign w:val="center"/>
          </w:tcPr>
          <w:p>
            <w:pPr>
              <w:bidi w:val="0"/>
              <w:rPr>
                <w:rFonts w:eastAsiaTheme="minorEastAsia" w:hint="default"/>
                <w:lang w:val="en-US" w:eastAsia="zh-CN"/>
              </w:rPr>
            </w:pPr>
            <w:r>
              <w:rPr>
                <w:rFonts w:hint="eastAsia"/>
                <w:lang w:val="en-US" w:eastAsia="zh-CN"/>
              </w:rPr>
              <w:t>C21D6/00 铁基合金的热处理〔 2〕</w:t>
              <w:br/>
              <w:t>C22C38/20 ..含铜的[2006.01]</w:t>
              <w:br/>
              <w:t>C22C38/28 ..含钛或锆的 [2006.01]</w:t>
              <w:br/>
              <w:t>C21D1/18 .硬化（C21D1/02 优先）；随后回火或不回火的淬火（淬火设备入C21D1/62 ）[2006.01]</w:t>
            </w:r>
          </w:p>
        </w:tc>
      </w:tr>
      <w:tr>
        <w:tblPrEx>
          <w:tblW w:w="0" w:type="auto"/>
          <w:tblInd w:w="0" w:type="dxa"/>
          <w:tblLayout w:type="fixed"/>
          <w:tblCellMar>
            <w:top w:w="0" w:type="dxa"/>
            <w:left w:w="108" w:type="dxa"/>
            <w:bottom w:w="0" w:type="dxa"/>
            <w:right w:w="108" w:type="dxa"/>
          </w:tblCellMar>
        </w:tblPrEx>
        <w:trPr>
          <w:trHeight w:val="264"/>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摘要</w:t>
            </w:r>
          </w:p>
        </w:tc>
        <w:tc>
          <w:tcPr>
            <w:tcW w:w="7046" w:type="dxa"/>
            <w:gridSpan w:val="3"/>
            <w:vAlign w:val="center"/>
          </w:tcPr>
          <w:p>
            <w:pPr>
              <w:bidi w:val="0"/>
              <w:rPr>
                <w:rFonts w:eastAsiaTheme="minorEastAsia" w:hint="default"/>
                <w:lang w:val="en-US" w:eastAsia="zh-CN"/>
              </w:rPr>
            </w:pPr>
            <w:r>
              <w:rPr>
                <w:rFonts w:hint="eastAsia"/>
                <w:lang w:val="en-US" w:eastAsia="zh-CN"/>
              </w:rPr>
              <w:t>本发明提供了一种抗HIC管道用钢及其制备方法。该抗HIC管道用钢中，含有C、Cr、Cu、Ti、Sc和Fe，具有较强的抗HIC能力，HIC敏感性指标均为0，对于抗HIC管道用钢而言，虽然可以通过低碳含量的合金设计来降低合金的HIC敏感性，但同时合金强度也会被降低，而本发明实施例的抗HIC管道用钢，设计了TiCuxSc相，显著提高了合金钢强度，同时降低了合金的氢脆敏感性。</w:t>
            </w:r>
          </w:p>
        </w:tc>
      </w:tr>
      <w:tr>
        <w:tblPrEx>
          <w:tblW w:w="0" w:type="auto"/>
          <w:tblInd w:w="0" w:type="dxa"/>
          <w:tblLayout w:type="fixed"/>
          <w:tblCellMar>
            <w:top w:w="0" w:type="dxa"/>
            <w:left w:w="108" w:type="dxa"/>
            <w:bottom w:w="0" w:type="dxa"/>
            <w:right w:w="108" w:type="dxa"/>
          </w:tblCellMar>
        </w:tblPrEx>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首图</w:t>
            </w:r>
          </w:p>
        </w:tc>
        <w:tc>
          <w:tcPr>
            <w:tcW w:w="7046" w:type="dxa"/>
            <w:gridSpan w:val="3"/>
          </w:tcPr>
          <w:p>
            <w:pPr>
              <w:bidi w:val="0"/>
            </w:pPr>
          </w:p>
          <w:p>
            <w:pPr>
              <w:jc w:val="center"/>
            </w:pPr>
            <w:r>
              <w:drawing>
                <wp:inline distT="0" distB="0" distL="0" distR="0">
                  <wp:extent cx="2222500" cy="1982470"/>
                  <wp:effectExtent l="0" t="0" r="0" b="0"/>
                  <wp:docPr id="19948154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15408" name=""/>
                          <pic:cNvPicPr/>
                        </pic:nvPicPr>
                        <pic:blipFill>
                          <a:blip xmlns:r="http://schemas.openxmlformats.org/officeDocument/2006/relationships" r:embed="rId13"/>
                          <a:stretch>
                            <a:fillRect/>
                          </a:stretch>
                        </pic:blipFill>
                        <pic:spPr>
                          <a:xfrm>
                            <a:off x="0" y="0"/>
                            <a:ext cx="2222500" cy="1982470"/>
                          </a:xfrm>
                          <a:prstGeom prst="rect">
                            <a:avLst/>
                          </a:prstGeom>
                        </pic:spPr>
                      </pic:pic>
                    </a:graphicData>
                  </a:graphic>
                </wp:inline>
              </w:drawing>
            </w:r>
          </w:p>
        </w:tc>
      </w:tr>
    </w:tbl>
    <w:p>
      <w:pPr>
        <w:tabs>
          <w:tab w:val="center" w:pos="4153"/>
        </w:tabs>
        <w:rPr>
          <w:rFonts w:hint="eastAsia"/>
          <w:color w:val="auto"/>
          <w:lang w:val="en-US" w:eastAsia="zh-CN"/>
        </w:rPr>
      </w:pPr>
      <w:bookmarkStart w:id="17" w:name="_Toc28841"/>
    </w:p>
    <w:p>
      <w:pPr>
        <w:rPr>
          <w:rFonts w:hint="eastAsia"/>
          <w:color w:val="auto"/>
          <w:lang w:val="en-US" w:eastAsia="zh-CN"/>
        </w:rPr>
      </w:pPr>
      <w:r>
        <w:rPr>
          <w:rFonts w:hint="eastAsia"/>
          <w:color w:val="auto"/>
          <w:lang w:val="en-US" w:eastAsia="zh-CN"/>
        </w:rPr>
        <w:br w:type="page"/>
      </w:r>
    </w:p>
    <w:p>
      <w:pPr>
        <w:pStyle w:val="Heading2"/>
        <w:numPr>
          <w:ilvl w:val="1"/>
          <w:numId w:val="4"/>
        </w:numPr>
        <w:bidi w:val="0"/>
        <w:rPr>
          <w:rFonts w:hint="eastAsia"/>
          <w:color w:val="auto"/>
          <w:lang w:val="en-US" w:eastAsia="zh-CN"/>
        </w:rPr>
      </w:pPr>
      <w:bookmarkStart w:id="18" w:name="_Toc95415226"/>
      <w:bookmarkStart w:id="19" w:name="_Toc256000005"/>
      <w:r>
        <w:rPr>
          <w:rFonts w:hint="eastAsia"/>
          <w:color w:val="auto"/>
          <w:lang w:val="en-US" w:eastAsia="zh-CN"/>
        </w:rPr>
        <w:t>专利事务公告信息</w:t>
      </w:r>
      <w:bookmarkEnd w:id="19"/>
      <w:bookmarkEnd w:id="17"/>
      <w:bookmarkEnd w:id="18"/>
    </w:p>
    <w:p>
      <w:pPr>
        <w:rPr>
          <w:rFonts w:hint="default"/>
          <w:color w:val="auto"/>
          <w:lang w:val="en-US" w:eastAsia="zh-CN"/>
        </w:rPr>
      </w:pPr>
    </w:p>
    <w:tbl>
      <w:tblPr>
        <w:tblStyle w:val="TableGrid"/>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1976"/>
        <w:gridCol w:w="2795"/>
        <w:gridCol w:w="3751"/>
      </w:tblGrid>
      <w:tr>
        <w:tblPrEx>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1291"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日期</w:t>
            </w:r>
          </w:p>
        </w:tc>
        <w:tc>
          <w:tcPr>
            <w:tcW w:w="2940"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法律信息</w:t>
            </w:r>
          </w:p>
        </w:tc>
        <w:tc>
          <w:tcPr>
            <w:tcW w:w="427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具体描述</w:t>
            </w:r>
          </w:p>
        </w:tc>
      </w:tr>
      <w:tr>
        <w:tblPrEx>
          <w:tblW w:w="0" w:type="auto"/>
          <w:tblInd w:w="0" w:type="dxa"/>
          <w:shd w:val="clear" w:color="auto" w:fill="5B9BD5" w:themeFill="accent1"/>
          <w:tblCellMar>
            <w:top w:w="0" w:type="dxa"/>
            <w:left w:w="108" w:type="dxa"/>
            <w:bottom w:w="0" w:type="dxa"/>
            <w:right w:w="108" w:type="dxa"/>
          </w:tblCellMar>
        </w:tblPrEx>
        <w:trPr>
          <w:trHeight w:val="838"/>
        </w:trPr>
        <w:tc>
          <w:tcPr>
            <w:tcW w:w="12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20200731</w:t>
            </w:r>
          </w:p>
        </w:tc>
        <w:tc>
          <w:tcPr>
            <w:tcW w:w="2940"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公开</w:t>
            </w:r>
          </w:p>
        </w:tc>
        <w:tc>
          <w:tcPr>
            <w:tcW w:w="427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公开</w:t>
            </w:r>
          </w:p>
        </w:tc>
      </w:tr>
      <w:tr>
        <w:tblPrEx>
          <w:tblW w:w="0" w:type="auto"/>
          <w:tblInd w:w="0" w:type="dxa"/>
          <w:shd w:val="clear" w:color="auto" w:fill="5B9BD5" w:themeFill="accent1"/>
          <w:tblCellMar>
            <w:top w:w="0" w:type="dxa"/>
            <w:left w:w="108" w:type="dxa"/>
            <w:bottom w:w="0" w:type="dxa"/>
            <w:right w:w="108" w:type="dxa"/>
          </w:tblCellMar>
        </w:tblPrEx>
        <w:trPr>
          <w:trHeight w:val="838"/>
        </w:trPr>
        <w:tc>
          <w:tcPr>
            <w:tcW w:w="12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20200825</w:t>
            </w:r>
          </w:p>
        </w:tc>
        <w:tc>
          <w:tcPr>
            <w:tcW w:w="2940"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实质审查</w:t>
            </w:r>
          </w:p>
        </w:tc>
        <w:tc>
          <w:tcPr>
            <w:tcW w:w="427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实质审查的生效 IPC(主分类):C22C  38/20 申请日:20200515</w:t>
            </w:r>
          </w:p>
        </w:tc>
      </w:tr>
      <w:tr>
        <w:tblPrEx>
          <w:tblW w:w="0" w:type="auto"/>
          <w:tblInd w:w="0" w:type="dxa"/>
          <w:shd w:val="clear" w:color="auto" w:fill="5B9BD5" w:themeFill="accent1"/>
          <w:tblCellMar>
            <w:top w:w="0" w:type="dxa"/>
            <w:left w:w="108" w:type="dxa"/>
            <w:bottom w:w="0" w:type="dxa"/>
            <w:right w:w="108" w:type="dxa"/>
          </w:tblCellMar>
        </w:tblPrEx>
        <w:trPr>
          <w:trHeight w:val="838"/>
        </w:trPr>
        <w:tc>
          <w:tcPr>
            <w:tcW w:w="12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20210326</w:t>
            </w:r>
          </w:p>
        </w:tc>
        <w:tc>
          <w:tcPr>
            <w:tcW w:w="2940"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授权</w:t>
            </w:r>
          </w:p>
        </w:tc>
        <w:tc>
          <w:tcPr>
            <w:tcW w:w="427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授权</w:t>
            </w:r>
          </w:p>
        </w:tc>
      </w:tr>
    </w:tbl>
    <w:p>
      <w:pPr>
        <w:pStyle w:val="Heading2"/>
        <w:numPr>
          <w:ilvl w:val="1"/>
          <w:numId w:val="4"/>
        </w:numPr>
        <w:bidi w:val="0"/>
        <w:rPr>
          <w:rFonts w:hint="eastAsia"/>
          <w:color w:val="auto"/>
          <w:lang w:val="en-US" w:eastAsia="zh-CN"/>
        </w:rPr>
      </w:pPr>
      <w:bookmarkStart w:id="20" w:name="_Toc95415227"/>
      <w:bookmarkStart w:id="21" w:name="_Toc25619"/>
      <w:bookmarkStart w:id="22" w:name="_Toc256000006"/>
      <w:r>
        <w:rPr>
          <w:rFonts w:hint="eastAsia"/>
          <w:color w:val="auto"/>
          <w:lang w:val="en-US" w:eastAsia="zh-CN"/>
        </w:rPr>
        <w:t>专利引证信息</w:t>
      </w:r>
      <w:bookmarkEnd w:id="22"/>
      <w:bookmarkEnd w:id="21"/>
      <w:bookmarkEnd w:id="20"/>
    </w:p>
    <w:p>
      <w:pPr>
        <w:pStyle w:val="Heading3"/>
        <w:numPr>
          <w:ilvl w:val="2"/>
          <w:numId w:val="4"/>
        </w:numPr>
        <w:bidi w:val="0"/>
        <w:rPr>
          <w:rFonts w:hint="default"/>
          <w:color w:val="auto"/>
          <w:lang w:val="en-US" w:eastAsia="zh-CN"/>
        </w:rPr>
      </w:pPr>
      <w:bookmarkStart w:id="23" w:name="_Toc95415228"/>
      <w:bookmarkStart w:id="24" w:name="_Toc21493"/>
      <w:bookmarkStart w:id="25" w:name="_Toc256000007"/>
      <w:r>
        <w:rPr>
          <w:rFonts w:hint="eastAsia"/>
          <w:color w:val="auto"/>
          <w:lang w:val="en-US" w:eastAsia="zh-CN"/>
        </w:rPr>
        <w:t>简单同族引证专利</w:t>
      </w:r>
      <w:bookmarkEnd w:id="25"/>
      <w:bookmarkEnd w:id="24"/>
      <w:bookmarkEnd w:id="23"/>
    </w:p>
    <w:tbl>
      <w:tblPr>
        <w:tblStyle w:val="TableGrid"/>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194"/>
        <w:gridCol w:w="3282"/>
        <w:gridCol w:w="1426"/>
        <w:gridCol w:w="1516"/>
      </w:tblGrid>
      <w:tr>
        <w:tblPrEx>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194"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引证专利公开号</w:t>
            </w:r>
          </w:p>
        </w:tc>
        <w:tc>
          <w:tcPr>
            <w:tcW w:w="3282"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专利名称</w:t>
            </w:r>
          </w:p>
        </w:tc>
        <w:tc>
          <w:tcPr>
            <w:tcW w:w="1425"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申请人</w:t>
            </w:r>
          </w:p>
        </w:tc>
        <w:tc>
          <w:tcPr>
            <w:tcW w:w="151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公开日</w:t>
            </w:r>
          </w:p>
        </w:tc>
      </w:tr>
    </w:tbl>
    <w:p>
      <w:pPr>
        <w:pStyle w:val="Heading3"/>
        <w:bidi w:val="0"/>
        <w:rPr>
          <w:rFonts w:hint="default"/>
          <w:color w:val="auto"/>
          <w:lang w:val="en-US" w:eastAsia="zh-CN"/>
        </w:rPr>
      </w:pPr>
      <w:bookmarkStart w:id="26" w:name="_Toc95415229"/>
      <w:bookmarkStart w:id="27" w:name="_Toc17112"/>
      <w:bookmarkStart w:id="28" w:name="_Toc256000008"/>
      <w:r>
        <w:rPr>
          <w:rFonts w:hint="eastAsia"/>
          <w:color w:val="auto"/>
          <w:lang w:val="en-US" w:eastAsia="zh-CN"/>
        </w:rPr>
        <w:t>2.4.2 简单同族引证</w:t>
      </w:r>
      <w:bookmarkEnd w:id="28"/>
      <w:bookmarkEnd w:id="27"/>
      <w:bookmarkEnd w:id="26"/>
    </w:p>
    <w:tbl>
      <w:tblPr>
        <w:tblStyle w:val="TableGrid"/>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194"/>
        <w:gridCol w:w="2083"/>
        <w:gridCol w:w="2083"/>
        <w:gridCol w:w="2057"/>
      </w:tblGrid>
      <w:tr>
        <w:tblPrEx>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194"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施引专利公开号</w:t>
            </w:r>
          </w:p>
        </w:tc>
        <w:tc>
          <w:tcPr>
            <w:tcW w:w="208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专利名称</w:t>
            </w:r>
          </w:p>
        </w:tc>
        <w:tc>
          <w:tcPr>
            <w:tcW w:w="208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申请人</w:t>
            </w:r>
          </w:p>
        </w:tc>
        <w:tc>
          <w:tcPr>
            <w:tcW w:w="205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公开日</w:t>
            </w:r>
          </w:p>
        </w:tc>
      </w:tr>
    </w:tbl>
    <w:p>
      <w:pPr>
        <w:pStyle w:val="Heading2"/>
        <w:numPr>
          <w:ilvl w:val="1"/>
          <w:numId w:val="4"/>
        </w:numPr>
        <w:bidi w:val="0"/>
        <w:rPr>
          <w:rFonts w:hint="eastAsia"/>
          <w:color w:val="auto"/>
          <w:lang w:val="en-US" w:eastAsia="zh-CN"/>
        </w:rPr>
      </w:pPr>
      <w:bookmarkStart w:id="29" w:name="_Toc95415230"/>
      <w:bookmarkStart w:id="30" w:name="_Toc9159"/>
      <w:bookmarkStart w:id="31" w:name="_Toc256000009"/>
      <w:r>
        <w:rPr>
          <w:rFonts w:hint="eastAsia"/>
          <w:color w:val="auto"/>
          <w:lang w:val="en-US" w:eastAsia="zh-CN"/>
        </w:rPr>
        <w:t>专利运营信息</w:t>
      </w:r>
      <w:bookmarkEnd w:id="31"/>
      <w:bookmarkEnd w:id="30"/>
      <w:bookmarkEnd w:id="29"/>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386"/>
        <w:gridCol w:w="2591"/>
        <w:gridCol w:w="3327"/>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38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2591"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c>
          <w:tcPr>
            <w:tcW w:w="332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相关人</w:t>
            </w:r>
          </w:p>
        </w:tc>
      </w:tr>
      <w:tr>
        <w:tblPrEx>
          <w:tblW w:w="0" w:type="auto"/>
          <w:tblInd w:w="122" w:type="dxa"/>
          <w:shd w:val="clear" w:color="auto" w:fill="5B9BD5" w:themeFill="accent1"/>
          <w:tblCellMar>
            <w:top w:w="0" w:type="dxa"/>
            <w:left w:w="108" w:type="dxa"/>
            <w:bottom w:w="0" w:type="dxa"/>
            <w:right w:w="108" w:type="dxa"/>
          </w:tblCellMar>
        </w:tblPrEx>
        <w:trPr>
          <w:trHeight w:val="838"/>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许可次数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质押次数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保全次数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转让次数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bCs/>
                <w:i w:val="0"/>
                <w:iCs w:val="0"/>
                <w:color w:val="auto"/>
                <w:sz w:val="22"/>
                <w:szCs w:val="22"/>
                <w:u w:val="none"/>
                <w:lang w:val="en-US" w:eastAsia="zh-CN"/>
              </w:rPr>
              <w:t>获奖情况</w:t>
            </w:r>
          </w:p>
        </w:tc>
        <w:tc>
          <w:tcPr>
            <w:tcW w:w="2591" w:type="dxa"/>
            <w:shd w:val="clear" w:color="auto" w:fill="FFFFFF" w:themeFill="background1"/>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p>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bl>
    <w:p>
      <w:pPr>
        <w:pStyle w:val="Heading2"/>
        <w:numPr>
          <w:ilvl w:val="1"/>
          <w:numId w:val="4"/>
        </w:numPr>
        <w:bidi w:val="0"/>
        <w:rPr>
          <w:rFonts w:hint="eastAsia"/>
          <w:color w:val="auto"/>
          <w:lang w:val="en-US" w:eastAsia="zh-CN"/>
        </w:rPr>
      </w:pPr>
      <w:bookmarkStart w:id="32" w:name="_Toc95415231"/>
      <w:bookmarkStart w:id="33" w:name="_Toc31910"/>
      <w:bookmarkStart w:id="34" w:name="_Toc256000010"/>
      <w:r>
        <w:rPr>
          <w:rFonts w:hint="eastAsia"/>
          <w:color w:val="auto"/>
          <w:lang w:val="en-US" w:eastAsia="zh-CN"/>
        </w:rPr>
        <w:t>专利复审/无效/诉讼信息</w:t>
      </w:r>
      <w:bookmarkEnd w:id="34"/>
      <w:bookmarkEnd w:id="33"/>
      <w:bookmarkEnd w:id="32"/>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386"/>
        <w:gridCol w:w="2636"/>
        <w:gridCol w:w="3327"/>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38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2591"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c>
          <w:tcPr>
            <w:tcW w:w="332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相关人</w:t>
            </w:r>
          </w:p>
        </w:tc>
      </w:tr>
      <w:tr>
        <w:tblPrEx>
          <w:tblW w:w="0" w:type="auto"/>
          <w:tblInd w:w="122" w:type="dxa"/>
          <w:shd w:val="clear" w:color="auto" w:fill="5B9BD5" w:themeFill="accent1"/>
          <w:tblCellMar>
            <w:top w:w="0" w:type="dxa"/>
            <w:left w:w="108" w:type="dxa"/>
            <w:bottom w:w="0" w:type="dxa"/>
            <w:right w:w="108" w:type="dxa"/>
          </w:tblCellMar>
        </w:tblPrEx>
        <w:trPr>
          <w:trHeight w:val="838"/>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复审次数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无效次数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诉讼次数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赔偿金额(￥)</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bookmarkEnd w:id="0"/>
    </w:tbl>
    <w:p>
      <w:pPr>
        <w:pStyle w:val="Heading1"/>
        <w:numPr>
          <w:ilvl w:val="0"/>
          <w:numId w:val="4"/>
        </w:numPr>
        <w:bidi w:val="0"/>
        <w:rPr>
          <w:rFonts w:hint="default"/>
          <w:color w:val="auto"/>
          <w:lang w:val="en-US" w:eastAsia="zh-CN"/>
        </w:rPr>
      </w:pPr>
      <w:bookmarkStart w:id="35" w:name="_Toc95415232"/>
      <w:bookmarkStart w:id="36" w:name="_Toc12722"/>
      <w:bookmarkStart w:id="37" w:name="_Toc256000011"/>
      <w:r>
        <w:rPr>
          <w:rFonts w:hint="eastAsia"/>
          <w:color w:val="auto"/>
          <w:lang w:val="en-US" w:eastAsia="zh-CN"/>
        </w:rPr>
        <w:t>专利评分详情</w:t>
      </w:r>
      <w:bookmarkEnd w:id="37"/>
      <w:bookmarkEnd w:id="36"/>
      <w:bookmarkEnd w:id="35"/>
    </w:p>
    <w:p>
      <w:pPr>
        <w:pStyle w:val="Heading2"/>
        <w:numPr>
          <w:ilvl w:val="1"/>
          <w:numId w:val="4"/>
        </w:numPr>
        <w:bidi w:val="0"/>
        <w:rPr>
          <w:rFonts w:hint="eastAsia"/>
          <w:color w:val="auto"/>
          <w:lang w:val="en-US" w:eastAsia="zh-CN"/>
        </w:rPr>
      </w:pPr>
      <w:bookmarkStart w:id="38" w:name="_Toc95415233"/>
      <w:bookmarkStart w:id="39" w:name="_Toc31618"/>
      <w:bookmarkStart w:id="40" w:name="_Toc256000012"/>
      <w:r>
        <w:rPr>
          <w:rFonts w:hint="eastAsia"/>
          <w:color w:val="auto"/>
          <w:lang w:val="en-US" w:eastAsia="zh-CN"/>
        </w:rPr>
        <w:t>法律价值评分详情</w:t>
      </w:r>
      <w:bookmarkEnd w:id="40"/>
      <w:bookmarkEnd w:id="39"/>
      <w:bookmarkEnd w:id="38"/>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204"/>
        <w:gridCol w:w="3340"/>
        <w:gridCol w:w="2856"/>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662"/>
        </w:trPr>
        <w:tc>
          <w:tcPr>
            <w:tcW w:w="2311"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3515"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47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0" w:type="auto"/>
          <w:tblInd w:w="122" w:type="dxa"/>
          <w:shd w:val="clear" w:color="auto" w:fill="5B9BD5" w:themeFill="accent1"/>
          <w:tblCellMar>
            <w:top w:w="0" w:type="dxa"/>
            <w:left w:w="108" w:type="dxa"/>
            <w:bottom w:w="0" w:type="dxa"/>
            <w:right w:w="108" w:type="dxa"/>
          </w:tblCellMar>
        </w:tblPrEx>
        <w:trPr>
          <w:trHeight w:val="727"/>
        </w:trPr>
        <w:tc>
          <w:tcPr>
            <w:tcW w:w="2311" w:type="dxa"/>
            <w:vMerge w:val="restart"/>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地域范围</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default"/>
                <w:b w:val="0"/>
                <w:bCs w:val="0"/>
                <w:color w:val="auto"/>
                <w:vertAlign w:val="baseline"/>
                <w:lang w:val="en-US" w:eastAsia="zh-CN"/>
              </w:rPr>
            </w:pPr>
            <w:r>
              <w:rPr>
                <w:rFonts w:ascii="宋体" w:eastAsia="宋体" w:hAnsi="宋体" w:cs="宋体" w:hint="eastAsia"/>
                <w:b w:val="0"/>
                <w:bCs w:val="0"/>
                <w:color w:val="auto"/>
                <w:kern w:val="0"/>
                <w:sz w:val="22"/>
                <w:szCs w:val="22"/>
                <w:lang w:val="en-US" w:eastAsia="zh-CN" w:bidi="ar"/>
              </w:rPr>
              <w:t>简单同族国家</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CN</w:t>
            </w:r>
          </w:p>
        </w:tc>
      </w:tr>
      <w:tr>
        <w:tblPrEx>
          <w:tblW w:w="0" w:type="auto"/>
          <w:tblInd w:w="122" w:type="dxa"/>
          <w:shd w:val="clear" w:color="auto" w:fill="5B9BD5" w:themeFill="accent1"/>
          <w:tblCellMar>
            <w:top w:w="0" w:type="dxa"/>
            <w:left w:w="108" w:type="dxa"/>
            <w:bottom w:w="0" w:type="dxa"/>
            <w:right w:w="108" w:type="dxa"/>
          </w:tblCellMar>
        </w:tblPrEx>
        <w:trPr>
          <w:trHeight w:val="692"/>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简单同族国家数</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1</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扩展同族国家</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CN</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扩展</w:t>
            </w:r>
            <w:r>
              <w:rPr>
                <w:rFonts w:ascii="宋体" w:eastAsia="宋体" w:hAnsi="宋体" w:cs="宋体"/>
                <w:b w:val="0"/>
                <w:bCs w:val="0"/>
                <w:color w:val="auto"/>
                <w:kern w:val="0"/>
                <w:sz w:val="22"/>
                <w:szCs w:val="22"/>
                <w:lang w:val="en-US" w:eastAsia="zh-CN" w:bidi="ar"/>
              </w:rPr>
              <w:t>同族国家数</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1</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val="restart"/>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bCs/>
                <w:i w:val="0"/>
                <w:iCs w:val="0"/>
                <w:color w:val="auto"/>
                <w:sz w:val="22"/>
                <w:szCs w:val="22"/>
                <w:u w:val="none"/>
                <w:lang w:val="en-US" w:eastAsia="zh-CN"/>
              </w:rPr>
              <w:t>权利范围</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申请时权利要求个数</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10</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授权时权利要求个数</w:t>
            </w:r>
          </w:p>
        </w:tc>
        <w:tc>
          <w:tcPr>
            <w:tcW w:w="2473" w:type="dxa"/>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6</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hint="default"/>
                <w:color w:val="auto"/>
                <w:vertAlign w:val="baseli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default"/>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独立权利要求数量</w:t>
            </w:r>
          </w:p>
        </w:tc>
        <w:tc>
          <w:tcPr>
            <w:tcW w:w="2473" w:type="dxa"/>
            <w:shd w:val="clear" w:color="auto" w:fill="FFFFFF" w:themeFill="background1"/>
            <w:vAlign w:val="center"/>
          </w:tcPr>
          <w:p>
            <w:pPr>
              <w:jc w:val="center"/>
              <w:rPr>
                <w:rFonts w:asciiTheme="minorHAnsi" w:eastAsiaTheme="minorEastAsia" w:hAnsiTheme="minorHAnsi" w:cstheme="minorBidi" w:hint="default"/>
                <w:color w:val="auto"/>
                <w:kern w:val="2"/>
                <w:sz w:val="21"/>
                <w:szCs w:val="24"/>
                <w:vertAlign w:val="baseline"/>
                <w:lang w:val="en-US" w:eastAsia="zh-CN" w:bidi="ar-SA"/>
              </w:rPr>
            </w:pPr>
            <w:r>
              <w:rPr>
                <w:rFonts w:ascii="宋体" w:eastAsia="宋体" w:hAnsi="宋体" w:cs="宋体" w:hint="eastAsia"/>
                <w:b w:val="0"/>
                <w:bCs w:val="0"/>
                <w:color w:val="auto"/>
                <w:kern w:val="0"/>
                <w:sz w:val="22"/>
                <w:szCs w:val="22"/>
                <w:lang w:val="en-US" w:eastAsia="zh-CN" w:bidi="ar"/>
              </w:rPr>
              <w:t>1</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申请时首项权利要求字数</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40</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授权时首项权利要求字数</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194</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权利要求类型</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产品</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val="restart"/>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时间范围</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hint="eastAsia"/>
                <w:b w:val="0"/>
                <w:bCs w:val="0"/>
                <w:color w:val="auto"/>
                <w:kern w:val="0"/>
                <w:sz w:val="22"/>
                <w:szCs w:val="22"/>
                <w:lang w:val="en-US" w:eastAsia="zh-CN" w:bidi="ar"/>
              </w:rPr>
              <w:t>专利类型</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发明</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剩余有效期</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5807</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专利年龄</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1498</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hint="eastAsia"/>
                <w:b w:val="0"/>
                <w:bCs w:val="0"/>
                <w:color w:val="auto"/>
                <w:kern w:val="0"/>
                <w:sz w:val="22"/>
                <w:szCs w:val="22"/>
                <w:lang w:val="en-US" w:eastAsia="zh-CN" w:bidi="ar"/>
              </w:rPr>
              <w:t>已付费时长</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1498</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val="restart"/>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法律稳定性</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b w:val="0"/>
                <w:bCs w:val="0"/>
                <w:color w:val="auto"/>
                <w:kern w:val="0"/>
                <w:sz w:val="22"/>
                <w:szCs w:val="22"/>
                <w:lang w:val="en-US" w:eastAsia="zh-CN" w:bidi="ar"/>
              </w:rPr>
              <w:t>是否授权</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是</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b w:val="0"/>
                <w:bCs w:val="0"/>
                <w:color w:val="auto"/>
                <w:kern w:val="0"/>
                <w:sz w:val="22"/>
                <w:szCs w:val="22"/>
                <w:lang w:val="en-US" w:eastAsia="zh-CN" w:bidi="ar"/>
              </w:rPr>
              <w:t>简单同族</w:t>
            </w:r>
            <w:r>
              <w:rPr>
                <w:rFonts w:ascii="宋体" w:eastAsia="宋体" w:hAnsi="宋体" w:cs="宋体" w:hint="eastAsia"/>
                <w:b w:val="0"/>
                <w:bCs w:val="0"/>
                <w:color w:val="auto"/>
                <w:kern w:val="0"/>
                <w:sz w:val="22"/>
                <w:szCs w:val="22"/>
                <w:lang w:val="en-US" w:eastAsia="zh-CN" w:bidi="ar"/>
              </w:rPr>
              <w:t>授权国别</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CN</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是否经历无效</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是否经历复审</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696"/>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是否有代理机构/代理人</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是</w:t>
            </w:r>
          </w:p>
        </w:tc>
      </w:tr>
    </w:tbl>
    <w:p>
      <w:pPr>
        <w:pStyle w:val="Heading2"/>
        <w:numPr>
          <w:ilvl w:val="1"/>
          <w:numId w:val="4"/>
        </w:numPr>
        <w:bidi w:val="0"/>
        <w:rPr>
          <w:rFonts w:hint="eastAsia"/>
          <w:color w:val="auto"/>
          <w:lang w:val="en-US" w:eastAsia="zh-CN"/>
        </w:rPr>
      </w:pPr>
      <w:bookmarkStart w:id="41" w:name="_Toc95415234"/>
      <w:bookmarkStart w:id="42" w:name="_Toc11110"/>
      <w:bookmarkStart w:id="43" w:name="_Toc256000013"/>
      <w:r>
        <w:rPr>
          <w:rFonts w:hint="eastAsia"/>
          <w:color w:val="auto"/>
          <w:lang w:val="en-US" w:eastAsia="zh-CN"/>
        </w:rPr>
        <w:t>技术价值评分详情</w:t>
      </w:r>
      <w:bookmarkEnd w:id="43"/>
      <w:bookmarkEnd w:id="42"/>
      <w:bookmarkEnd w:id="41"/>
    </w:p>
    <w:p>
      <w:pPr>
        <w:rPr>
          <w:rFonts w:hint="eastAsia"/>
          <w:color w:val="auto"/>
          <w:lang w:val="en-US" w:eastAsia="zh-CN"/>
        </w:rPr>
      </w:pPr>
    </w:p>
    <w:tbl>
      <w:tblPr>
        <w:tblStyle w:val="TableGrid"/>
        <w:tblW w:w="845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162"/>
        <w:gridCol w:w="3221"/>
        <w:gridCol w:w="3076"/>
      </w:tblGrid>
      <w:tr>
        <w:tblPrEx>
          <w:tblW w:w="845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712"/>
        </w:trPr>
        <w:tc>
          <w:tcPr>
            <w:tcW w:w="2394"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48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8459" w:type="dxa"/>
          <w:tblInd w:w="0" w:type="dxa"/>
          <w:shd w:val="clear" w:color="auto" w:fill="5B9BD5" w:themeFill="accent1"/>
          <w:tblCellMar>
            <w:top w:w="0" w:type="dxa"/>
            <w:left w:w="108" w:type="dxa"/>
            <w:bottom w:w="0" w:type="dxa"/>
            <w:right w:w="108" w:type="dxa"/>
          </w:tblCellMar>
        </w:tblPrEx>
        <w:trPr>
          <w:trHeight w:val="701"/>
        </w:trPr>
        <w:tc>
          <w:tcPr>
            <w:tcW w:w="2394" w:type="dxa"/>
            <w:vMerge w:val="restart"/>
            <w:shd w:val="clear" w:color="auto" w:fill="FFFFFF" w:themeFill="background1"/>
            <w:vAlign w:val="center"/>
          </w:tcPr>
          <w:p>
            <w:pPr>
              <w:tabs>
                <w:tab w:val="left" w:pos="505"/>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技术独立性</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引文个数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9</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引文国别个数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技术先进程度</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是否有PCT同族</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简单家族施引专利申请号数量</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简单家族施引专利国别个数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发明(设计)人个数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5</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技术应用广度</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附图个数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文献页数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8</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IPC分类号个数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4</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IPC小类个数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val="restart"/>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技术应用前景</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申请人类型</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C,E,I,U</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申请人数量</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4</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战略性新兴产业主分类</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C</w:t>
            </w:r>
          </w:p>
        </w:tc>
      </w:tr>
      <w:tr>
        <w:tblPrEx>
          <w:tblW w:w="8459" w:type="dxa"/>
          <w:tblInd w:w="0" w:type="dxa"/>
          <w:shd w:val="clear" w:color="auto" w:fill="5B9BD5" w:themeFill="accent1"/>
          <w:tblCellMar>
            <w:top w:w="0" w:type="dxa"/>
            <w:left w:w="108" w:type="dxa"/>
            <w:bottom w:w="0" w:type="dxa"/>
            <w:right w:w="108" w:type="dxa"/>
          </w:tblCellMar>
        </w:tblPrEx>
        <w:trPr>
          <w:trHeight w:val="756"/>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战略性新兴产业分类</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C105,C116</w:t>
            </w:r>
          </w:p>
        </w:tc>
      </w:tr>
    </w:tbl>
    <w:p>
      <w:pPr>
        <w:rPr>
          <w:rFonts w:hint="default"/>
          <w:color w:val="auto"/>
          <w:lang w:val="en-US" w:eastAsia="zh-CN"/>
        </w:rPr>
      </w:pPr>
    </w:p>
    <w:p>
      <w:pPr>
        <w:pStyle w:val="Heading2"/>
        <w:numPr>
          <w:ilvl w:val="1"/>
          <w:numId w:val="4"/>
        </w:numPr>
        <w:bidi w:val="0"/>
        <w:rPr>
          <w:rFonts w:hint="eastAsia"/>
          <w:color w:val="auto"/>
          <w:lang w:val="en-US" w:eastAsia="zh-CN"/>
        </w:rPr>
      </w:pPr>
      <w:bookmarkStart w:id="44" w:name="_Toc95415235"/>
      <w:bookmarkStart w:id="45" w:name="_Toc23344"/>
      <w:bookmarkStart w:id="46" w:name="_Toc256000014"/>
      <w:r>
        <w:rPr>
          <w:rFonts w:hint="eastAsia"/>
          <w:color w:val="auto"/>
          <w:lang w:val="en-US" w:eastAsia="zh-CN"/>
        </w:rPr>
        <w:t>市场价值评分详情</w:t>
      </w:r>
      <w:bookmarkEnd w:id="46"/>
      <w:bookmarkEnd w:id="45"/>
      <w:bookmarkEnd w:id="44"/>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331"/>
        <w:gridCol w:w="3561"/>
        <w:gridCol w:w="2427"/>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798"/>
        </w:trPr>
        <w:tc>
          <w:tcPr>
            <w:tcW w:w="2331"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3561"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42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0" w:type="auto"/>
          <w:tblInd w:w="122" w:type="dxa"/>
          <w:shd w:val="clear" w:color="auto" w:fill="5B9BD5" w:themeFill="accent1"/>
          <w:tblCellMar>
            <w:top w:w="0" w:type="dxa"/>
            <w:left w:w="108" w:type="dxa"/>
            <w:bottom w:w="0" w:type="dxa"/>
            <w:right w:w="108" w:type="dxa"/>
          </w:tblCellMar>
        </w:tblPrEx>
        <w:trPr>
          <w:trHeight w:val="786"/>
        </w:trPr>
        <w:tc>
          <w:tcPr>
            <w:tcW w:w="2331"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专利实施情况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标准专利</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海关备案</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专利许可情况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许可次数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专利质押情况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质押次数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专利转让情况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申请权转让次数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专利权转让次数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7"/>
        </w:trPr>
        <w:tc>
          <w:tcPr>
            <w:tcW w:w="2331"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判决情况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判决金额</w:t>
            </w:r>
          </w:p>
        </w:tc>
        <w:tc>
          <w:tcPr>
            <w:tcW w:w="2427" w:type="dxa"/>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w:t>
            </w:r>
          </w:p>
        </w:tc>
      </w:tr>
    </w:tbl>
    <w:p>
      <w:pPr>
        <w:pStyle w:val="Heading2"/>
        <w:numPr>
          <w:ilvl w:val="1"/>
          <w:numId w:val="4"/>
        </w:numPr>
        <w:bidi w:val="0"/>
        <w:rPr>
          <w:rFonts w:hint="eastAsia"/>
          <w:color w:val="auto"/>
          <w:lang w:val="en-US" w:eastAsia="zh-CN"/>
        </w:rPr>
      </w:pPr>
      <w:bookmarkStart w:id="47" w:name="_Toc95415236"/>
      <w:bookmarkStart w:id="48" w:name="_Toc5918"/>
      <w:bookmarkStart w:id="49" w:name="_Toc256000015"/>
      <w:r>
        <w:rPr>
          <w:rFonts w:hint="eastAsia"/>
          <w:color w:val="auto"/>
          <w:lang w:val="en-US" w:eastAsia="zh-CN"/>
        </w:rPr>
        <w:t>战略价值评分详情</w:t>
      </w:r>
      <w:bookmarkEnd w:id="49"/>
      <w:bookmarkEnd w:id="48"/>
      <w:bookmarkEnd w:id="47"/>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275"/>
        <w:gridCol w:w="3477"/>
        <w:gridCol w:w="2636"/>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16"/>
        </w:trPr>
        <w:tc>
          <w:tcPr>
            <w:tcW w:w="2275"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58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0" w:type="auto"/>
          <w:tblInd w:w="122" w:type="dxa"/>
          <w:shd w:val="clear" w:color="auto" w:fill="5B9BD5" w:themeFill="accent1"/>
          <w:tblCellMar>
            <w:top w:w="0" w:type="dxa"/>
            <w:left w:w="108" w:type="dxa"/>
            <w:bottom w:w="0" w:type="dxa"/>
            <w:right w:w="108" w:type="dxa"/>
          </w:tblCellMar>
        </w:tblPrEx>
        <w:trPr>
          <w:trHeight w:val="804"/>
        </w:trPr>
        <w:tc>
          <w:tcPr>
            <w:tcW w:w="2275"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专利防御价值</w:t>
            </w:r>
          </w:p>
        </w:tc>
        <w:tc>
          <w:tcPr>
            <w:tcW w:w="3477" w:type="dxa"/>
            <w:shd w:val="clear" w:color="auto" w:fill="FFFFFF" w:themeFill="background1"/>
            <w:vAlign w:val="center"/>
          </w:tcPr>
          <w:p>
            <w:pPr>
              <w:tabs>
                <w:tab w:val="left" w:pos="464"/>
              </w:tabs>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是否分案/母案</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一案双申</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复审次数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专利进攻价值</w:t>
            </w: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无效次数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无效口审次数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国防解密</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诉讼次数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66"/>
        </w:trPr>
        <w:tc>
          <w:tcPr>
            <w:tcW w:w="2275"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专利影响力价值</w:t>
            </w: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专利奖等级</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bl>
    <w:p>
      <w:pPr>
        <w:pStyle w:val="Heading1"/>
        <w:numPr>
          <w:ilvl w:val="0"/>
          <w:numId w:val="4"/>
        </w:numPr>
        <w:bidi w:val="0"/>
        <w:rPr>
          <w:rFonts w:hint="eastAsia"/>
          <w:color w:val="auto"/>
          <w:lang w:val="en-US" w:eastAsia="zh-CN"/>
        </w:rPr>
      </w:pPr>
      <w:bookmarkStart w:id="50" w:name="_Toc95415237"/>
      <w:bookmarkStart w:id="51" w:name="_Toc9313"/>
      <w:bookmarkStart w:id="52" w:name="_Toc256000016"/>
      <w:r>
        <w:rPr>
          <w:rFonts w:hint="eastAsia"/>
          <w:color w:val="auto"/>
          <w:lang w:val="en-US" w:eastAsia="zh-CN"/>
        </w:rPr>
        <w:t>领域分析</w:t>
      </w:r>
      <w:bookmarkEnd w:id="52"/>
      <w:bookmarkEnd w:id="51"/>
      <w:bookmarkEnd w:id="50"/>
    </w:p>
    <w:p>
      <w:pPr>
        <w:pStyle w:val="Heading2"/>
        <w:numPr>
          <w:ilvl w:val="1"/>
          <w:numId w:val="4"/>
        </w:numPr>
        <w:bidi w:val="0"/>
        <w:rPr>
          <w:rFonts w:hint="default"/>
          <w:color w:val="auto"/>
          <w:lang w:val="en-US" w:eastAsia="zh-CN"/>
        </w:rPr>
      </w:pPr>
      <w:bookmarkStart w:id="53" w:name="_Toc95415238"/>
      <w:bookmarkStart w:id="54" w:name="_Toc4261"/>
      <w:bookmarkStart w:id="55" w:name="_Toc256000017"/>
      <w:r>
        <w:rPr>
          <w:rFonts w:hint="eastAsia"/>
          <w:color w:val="auto"/>
          <w:lang w:val="en-US" w:eastAsia="zh-CN"/>
        </w:rPr>
        <w:t>市场价值度</w:t>
      </w:r>
      <w:bookmarkEnd w:id="55"/>
      <w:bookmarkEnd w:id="54"/>
      <w:bookmarkEnd w:id="53"/>
    </w:p>
    <w:p>
      <w:pPr>
        <w:rPr>
          <w:color w:val="auto"/>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989"/>
        <w:gridCol w:w="1216"/>
        <w:gridCol w:w="1216"/>
        <w:gridCol w:w="1216"/>
        <w:gridCol w:w="1216"/>
        <w:gridCol w:w="1344"/>
        <w:gridCol w:w="1203"/>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0"/>
        </w:trPr>
        <w:tc>
          <w:tcPr>
            <w:tcW w:w="1100"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2335" w:type="dxa"/>
            <w:gridSpan w:val="2"/>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申请量</w:t>
            </w:r>
          </w:p>
        </w:tc>
        <w:tc>
          <w:tcPr>
            <w:tcW w:w="2335" w:type="dxa"/>
            <w:gridSpan w:val="2"/>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申请人数量</w:t>
            </w:r>
          </w:p>
        </w:tc>
        <w:tc>
          <w:tcPr>
            <w:tcW w:w="1370"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近三年人均申请量</w:t>
            </w:r>
          </w:p>
        </w:tc>
        <w:tc>
          <w:tcPr>
            <w:tcW w:w="1256"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市场价值度</w:t>
            </w:r>
          </w:p>
        </w:tc>
      </w:tr>
      <w:tr>
        <w:tblPrEx>
          <w:tblW w:w="0" w:type="auto"/>
          <w:tblInd w:w="122" w:type="dxa"/>
          <w:shd w:val="clear" w:color="auto" w:fill="5B9BD5" w:themeFill="accent1"/>
          <w:tblCellMar>
            <w:top w:w="0" w:type="dxa"/>
            <w:left w:w="108" w:type="dxa"/>
            <w:bottom w:w="0" w:type="dxa"/>
            <w:right w:w="108" w:type="dxa"/>
          </w:tblCellMar>
        </w:tblPrEx>
        <w:trPr>
          <w:trHeight w:val="851"/>
        </w:trPr>
        <w:tc>
          <w:tcPr>
            <w:tcW w:w="1100" w:type="dxa"/>
            <w:vMerge/>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1167"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相关专利数量占比</w:t>
            </w:r>
          </w:p>
        </w:tc>
        <w:tc>
          <w:tcPr>
            <w:tcW w:w="1168"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年均申请量</w:t>
            </w:r>
          </w:p>
        </w:tc>
        <w:tc>
          <w:tcPr>
            <w:tcW w:w="1167"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相关申请人数量</w:t>
            </w:r>
          </w:p>
        </w:tc>
        <w:tc>
          <w:tcPr>
            <w:tcW w:w="1168"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年均申请人数量</w:t>
            </w:r>
          </w:p>
        </w:tc>
        <w:tc>
          <w:tcPr>
            <w:tcW w:w="1370" w:type="dxa"/>
            <w:vMerge/>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1256" w:type="dxa"/>
            <w:vMerge/>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r>
      <w:tr>
        <w:tblPrEx>
          <w:tblW w:w="0" w:type="auto"/>
          <w:tblInd w:w="122" w:type="dxa"/>
          <w:shd w:val="clear" w:color="auto" w:fill="5B9BD5" w:themeFill="accent1"/>
          <w:tblCellMar>
            <w:top w:w="0" w:type="dxa"/>
            <w:left w:w="108" w:type="dxa"/>
            <w:bottom w:w="0" w:type="dxa"/>
            <w:right w:w="108" w:type="dxa"/>
          </w:tblCellMar>
        </w:tblPrEx>
        <w:trPr>
          <w:trHeight w:val="838"/>
        </w:trPr>
        <w:tc>
          <w:tcPr>
            <w:tcW w:w="1100"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申请日前</w:t>
            </w:r>
          </w:p>
        </w:tc>
        <w:tc>
          <w:tcPr>
            <w:tcW w:w="1167"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0.69</w:t>
            </w:r>
          </w:p>
        </w:tc>
        <w:tc>
          <w:tcPr>
            <w:tcW w:w="1168"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11</w:t>
            </w:r>
          </w:p>
        </w:tc>
        <w:tc>
          <w:tcPr>
            <w:tcW w:w="1167"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96</w:t>
            </w:r>
          </w:p>
        </w:tc>
        <w:tc>
          <w:tcPr>
            <w:tcW w:w="1168" w:type="dxa"/>
            <w:shd w:val="clear" w:color="auto" w:fill="FFFFFF" w:themeFill="background1"/>
            <w:vAlign w:val="center"/>
          </w:tcPr>
          <w:p>
            <w:pPr>
              <w:jc w:val="center"/>
              <w:rPr>
                <w:rFonts w:eastAsiaTheme="minorEastAsia" w:hint="eastAsia"/>
                <w:color w:val="auto"/>
                <w:vertAlign w:val="baseline"/>
                <w:lang w:val="en-US" w:eastAsia="zh-CN"/>
              </w:rPr>
            </w:pPr>
            <w:r>
              <w:rPr>
                <w:rFonts w:hint="eastAsia"/>
                <w:color w:val="auto"/>
                <w:vertAlign w:val="baseline"/>
                <w:lang w:val="en-US" w:eastAsia="zh-CN"/>
              </w:rPr>
              <w:t>8</w:t>
            </w:r>
          </w:p>
        </w:tc>
        <w:tc>
          <w:tcPr>
            <w:tcW w:w="1370"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7</w:t>
            </w:r>
          </w:p>
        </w:tc>
        <w:tc>
          <w:tcPr>
            <w:tcW w:w="1256" w:type="dxa"/>
            <w:vMerge w:val="restart"/>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0.3</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1100"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kern w:val="2"/>
                <w:sz w:val="22"/>
                <w:szCs w:val="22"/>
                <w:u w:val="none"/>
                <w:lang w:val="en-US" w:eastAsia="zh-CN" w:bidi="ar-SA"/>
              </w:rPr>
              <w:t>申请日后</w:t>
            </w:r>
          </w:p>
        </w:tc>
        <w:tc>
          <w:tcPr>
            <w:tcW w:w="1167"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0.31</w:t>
            </w:r>
          </w:p>
        </w:tc>
        <w:tc>
          <w:tcPr>
            <w:tcW w:w="1168"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50</w:t>
            </w:r>
          </w:p>
        </w:tc>
        <w:tc>
          <w:tcPr>
            <w:tcW w:w="1167"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63</w:t>
            </w:r>
          </w:p>
        </w:tc>
        <w:tc>
          <w:tcPr>
            <w:tcW w:w="1168" w:type="dxa"/>
            <w:shd w:val="clear" w:color="auto" w:fill="FFFFFF" w:themeFill="background1"/>
            <w:vAlign w:val="center"/>
          </w:tcPr>
          <w:p>
            <w:pPr>
              <w:jc w:val="center"/>
              <w:rPr>
                <w:rFonts w:eastAsiaTheme="minorEastAsia" w:hint="eastAsia"/>
                <w:color w:val="auto"/>
                <w:vertAlign w:val="baseline"/>
                <w:lang w:val="en-US" w:eastAsia="zh-CN"/>
              </w:rPr>
            </w:pPr>
            <w:r>
              <w:rPr>
                <w:rFonts w:hint="eastAsia"/>
                <w:color w:val="auto"/>
                <w:vertAlign w:val="baseline"/>
                <w:lang w:val="en-US" w:eastAsia="zh-CN"/>
              </w:rPr>
              <w:t>22</w:t>
            </w:r>
          </w:p>
        </w:tc>
        <w:tc>
          <w:tcPr>
            <w:tcW w:w="1370"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5</w:t>
            </w:r>
          </w:p>
        </w:tc>
        <w:tc>
          <w:tcPr>
            <w:tcW w:w="1256" w:type="dxa"/>
            <w:vMerge/>
            <w:shd w:val="clear" w:color="auto" w:fill="FFFFFF" w:themeFill="background1"/>
            <w:vAlign w:val="center"/>
          </w:tcPr>
          <w:p>
            <w:pPr>
              <w:jc w:val="center"/>
              <w:rPr>
                <w:rFonts w:hint="default"/>
                <w:color w:val="auto"/>
                <w:vertAlign w:val="baseline"/>
                <w:lang w:val="en-US" w:eastAsia="zh-CN"/>
              </w:rPr>
            </w:pPr>
          </w:p>
        </w:tc>
      </w:tr>
    </w:tbl>
    <w:p>
      <w:pPr>
        <w:rPr>
          <w:color w:val="auto"/>
        </w:rPr>
      </w:pPr>
    </w:p>
    <w:p>
      <w:pPr>
        <w:numPr>
          <w:ilvl w:val="0"/>
          <w:numId w:val="0"/>
        </w:numPr>
        <w:spacing w:line="240" w:lineRule="auto"/>
        <w:jc w:val="left"/>
        <w:rPr>
          <w:rFonts w:ascii="仿宋" w:eastAsia="仿宋" w:hAnsi="仿宋" w:cs="仿宋" w:hint="eastAsia"/>
          <w:b w:val="0"/>
          <w:color w:val="auto"/>
          <w:sz w:val="24"/>
          <w:szCs w:val="24"/>
          <w:lang w:val="en-US" w:eastAsia="zh-CN"/>
        </w:rPr>
      </w:pPr>
      <w:r>
        <w:rPr>
          <w:rFonts w:ascii="仿宋" w:eastAsia="仿宋" w:hAnsi="仿宋" w:cs="仿宋" w:hint="eastAsia"/>
          <w:b w:val="0"/>
          <w:color w:val="auto"/>
          <w:sz w:val="24"/>
          <w:szCs w:val="24"/>
          <w:lang w:val="en-US" w:eastAsia="zh-CN"/>
        </w:rPr>
        <w:t>注：由于近两年申请专利未公开完全，近两年年均申请量可能较真实数据偏低</w:t>
      </w:r>
    </w:p>
    <w:p>
      <w:pPr>
        <w:pStyle w:val="Heading2"/>
        <w:numPr>
          <w:ilvl w:val="1"/>
          <w:numId w:val="4"/>
        </w:numPr>
        <w:bidi w:val="0"/>
        <w:rPr>
          <w:rFonts w:hint="eastAsia"/>
          <w:color w:val="auto"/>
          <w:lang w:val="en-US" w:eastAsia="zh-CN"/>
        </w:rPr>
      </w:pPr>
      <w:bookmarkStart w:id="56" w:name="_Toc95415239"/>
      <w:bookmarkStart w:id="57" w:name="_Toc18980"/>
      <w:bookmarkStart w:id="58" w:name="_Toc256000018"/>
      <w:r>
        <w:rPr>
          <w:rFonts w:hint="eastAsia"/>
          <w:color w:val="auto"/>
          <w:lang w:val="en-US" w:eastAsia="zh-CN"/>
        </w:rPr>
        <w:t>创造性高度</w:t>
      </w:r>
      <w:bookmarkEnd w:id="58"/>
      <w:bookmarkEnd w:id="57"/>
      <w:bookmarkEnd w:id="56"/>
    </w:p>
    <w:p>
      <w:pPr>
        <w:rPr>
          <w:rFonts w:hint="eastAsia"/>
          <w:color w:val="auto"/>
          <w:lang w:val="en-US" w:eastAsia="zh-CN"/>
        </w:rPr>
      </w:pPr>
    </w:p>
    <w:tbl>
      <w:tblPr>
        <w:tblStyle w:val="TableGrid"/>
        <w:tblW w:w="8295" w:type="dxa"/>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1102"/>
        <w:gridCol w:w="1734"/>
        <w:gridCol w:w="1782"/>
        <w:gridCol w:w="3677"/>
      </w:tblGrid>
      <w:tr>
        <w:tblPrEx>
          <w:tblW w:w="8295" w:type="dxa"/>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1102"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3516" w:type="dxa"/>
            <w:gridSpan w:val="2"/>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专利相关度</w:t>
            </w:r>
          </w:p>
        </w:tc>
        <w:tc>
          <w:tcPr>
            <w:tcW w:w="3677"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技术影响</w:t>
            </w:r>
          </w:p>
        </w:tc>
      </w:tr>
      <w:tr>
        <w:tblPrEx>
          <w:tblW w:w="8295" w:type="dxa"/>
          <w:tblInd w:w="122" w:type="dxa"/>
          <w:shd w:val="clear" w:color="auto" w:fill="5B9BD5" w:themeFill="accent1"/>
          <w:tblCellMar>
            <w:top w:w="0" w:type="dxa"/>
            <w:left w:w="108" w:type="dxa"/>
            <w:bottom w:w="0" w:type="dxa"/>
            <w:right w:w="108" w:type="dxa"/>
          </w:tblCellMar>
        </w:tblPrEx>
        <w:trPr>
          <w:trHeight w:val="851"/>
        </w:trPr>
        <w:tc>
          <w:tcPr>
            <w:tcW w:w="1102" w:type="dxa"/>
            <w:vMerge/>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1734"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平均相关度</w:t>
            </w:r>
          </w:p>
        </w:tc>
        <w:tc>
          <w:tcPr>
            <w:tcW w:w="1782"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最高相关度</w:t>
            </w:r>
          </w:p>
        </w:tc>
        <w:tc>
          <w:tcPr>
            <w:tcW w:w="3677" w:type="dxa"/>
            <w:vMerge/>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r>
      <w:tr>
        <w:tblPrEx>
          <w:tblW w:w="8295" w:type="dxa"/>
          <w:tblInd w:w="122" w:type="dxa"/>
          <w:shd w:val="clear" w:color="auto" w:fill="5B9BD5" w:themeFill="accent1"/>
          <w:tblCellMar>
            <w:top w:w="0" w:type="dxa"/>
            <w:left w:w="108" w:type="dxa"/>
            <w:bottom w:w="0" w:type="dxa"/>
            <w:right w:w="108" w:type="dxa"/>
          </w:tblCellMar>
        </w:tblPrEx>
        <w:trPr>
          <w:trHeight w:val="838"/>
        </w:trPr>
        <w:tc>
          <w:tcPr>
            <w:tcW w:w="1102"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申请日前</w:t>
            </w:r>
          </w:p>
        </w:tc>
        <w:tc>
          <w:tcPr>
            <w:tcW w:w="1734"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0.97</w:t>
            </w:r>
          </w:p>
        </w:tc>
        <w:tc>
          <w:tcPr>
            <w:tcW w:w="1782"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0.98</w:t>
            </w:r>
          </w:p>
        </w:tc>
        <w:tc>
          <w:tcPr>
            <w:tcW w:w="3677" w:type="dxa"/>
            <w:vMerge w:val="restart"/>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13.26</w:t>
            </w:r>
          </w:p>
        </w:tc>
      </w:tr>
      <w:tr>
        <w:tblPrEx>
          <w:tblW w:w="8295" w:type="dxa"/>
          <w:tblInd w:w="122" w:type="dxa"/>
          <w:shd w:val="clear" w:color="auto" w:fill="5B9BD5" w:themeFill="accent1"/>
          <w:tblCellMar>
            <w:top w:w="0" w:type="dxa"/>
            <w:left w:w="108" w:type="dxa"/>
            <w:bottom w:w="0" w:type="dxa"/>
            <w:right w:w="108" w:type="dxa"/>
          </w:tblCellMar>
        </w:tblPrEx>
        <w:trPr>
          <w:trHeight w:val="885"/>
        </w:trPr>
        <w:tc>
          <w:tcPr>
            <w:tcW w:w="1102"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kern w:val="2"/>
                <w:sz w:val="22"/>
                <w:szCs w:val="22"/>
                <w:u w:val="none"/>
                <w:lang w:val="en-US" w:eastAsia="zh-CN" w:bidi="ar-SA"/>
              </w:rPr>
              <w:t>申请日后</w:t>
            </w:r>
          </w:p>
        </w:tc>
        <w:tc>
          <w:tcPr>
            <w:tcW w:w="1734"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0.97</w:t>
            </w:r>
          </w:p>
        </w:tc>
        <w:tc>
          <w:tcPr>
            <w:tcW w:w="1782"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0.98</w:t>
            </w:r>
          </w:p>
        </w:tc>
        <w:tc>
          <w:tcPr>
            <w:tcW w:w="3677" w:type="dxa"/>
            <w:vMerge/>
            <w:shd w:val="clear" w:color="auto" w:fill="FFFFFF" w:themeFill="background1"/>
            <w:vAlign w:val="center"/>
          </w:tcPr>
          <w:p>
            <w:pPr>
              <w:jc w:val="center"/>
              <w:rPr>
                <w:rFonts w:hint="default"/>
                <w:color w:val="auto"/>
                <w:vertAlign w:val="baseline"/>
                <w:lang w:val="en-US" w:eastAsia="zh-CN"/>
              </w:rPr>
            </w:pPr>
          </w:p>
        </w:tc>
      </w:tr>
    </w:tbl>
    <w:p>
      <w:pPr>
        <w:rPr>
          <w:rFonts w:hint="eastAsia"/>
          <w:lang w:val="en-US" w:eastAsia="zh-CN"/>
        </w:rPr>
      </w:pPr>
    </w:p>
    <w:p>
      <w:pPr>
        <w:rPr>
          <w:rFonts w:hint="eastAsia"/>
          <w:lang w:val="en-US" w:eastAsia="zh-CN"/>
        </w:rPr>
      </w:pPr>
    </w:p>
    <w:sectPr>
      <w:headerReference w:type="default" r:id="rId14"/>
      <w:footerReference w:type="default" r:id="rId15"/>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思源黑体 Bold">
    <w:altName w:val="黑体"/>
    <w:panose1 w:val="020B0800000000000000"/>
    <w:charset w:val="86"/>
    <w:family w:val="swiss"/>
    <w:pitch w:val="default"/>
    <w:sig w:usb0="00000000" w:usb1="00000000" w:usb2="00000016" w:usb3="00000000" w:csb0="002E0107" w:csb1="00000000"/>
  </w:font>
  <w:font w:name="思源黑体 CN Light">
    <w:altName w:val="黑体"/>
    <w:panose1 w:val="00000000000000000000"/>
    <w:charset w:val="86"/>
    <w:family w:val="swiss"/>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9264" filled="f" fillcolor="this" stroked="f" strokeweight="0.5pt">
              <v:textbox style="mso-fit-shape-to-text:t" inset="0,0,0,0">
                <w:txbxContent>
                  <w:p>
                    <w:pPr>
                      <w:pStyle w:val="Footer"/>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1" w:color="auto"/>
        <w:left w:val="none" w:sz="0" w:space="4" w:color="auto"/>
        <w:bottom w:val="none" w:sz="0" w:space="1" w:color="auto"/>
        <w:right w:val="none" w:sz="0" w:space="4" w:color="auto"/>
        <w:between w:val="none" w:sz="0" w:space="0" w:color="auto"/>
      </w:pBdr>
      <w:rPr>
        <w:rFonts w:eastAsiaTheme="minorEastAsia" w:hint="eastAsia"/>
        <w:lang w:eastAsia="zh-CN"/>
      </w:rPr>
    </w:pPr>
    <w:r>
      <w:rPr>
        <w:rFonts w:eastAsiaTheme="minorEastAsia" w:hint="eastAsia"/>
        <w:lang w:eastAsia="zh-CN"/>
      </w:rPr>
      <w:drawing>
        <wp:anchor distT="0" distB="0" distL="114935" distR="114935" simplePos="0" relativeHeight="251658240" behindDoc="1" locked="0" layoutInCell="1" allowOverlap="1">
          <wp:simplePos x="0" y="0"/>
          <wp:positionH relativeFrom="column">
            <wp:posOffset>-1156335</wp:posOffset>
          </wp:positionH>
          <wp:positionV relativeFrom="paragraph">
            <wp:posOffset>-730250</wp:posOffset>
          </wp:positionV>
          <wp:extent cx="7565390" cy="10701020"/>
          <wp:effectExtent l="0" t="0" r="16510" b="5080"/>
          <wp:wrapNone/>
          <wp:docPr id="7" name="图片 7" descr="C:\Users\86198\Desktop\jiazhipingu\fengm_neirong.pngfengm_nei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98\Desktop\jiazhipingu\fengm_neirong.pngfengm_neirong"/>
                  <pic:cNvPicPr>
                    <a:picLocks noChangeAspect="1"/>
                  </pic:cNvPicPr>
                </pic:nvPicPr>
                <pic:blipFill>
                  <a:blip xmlns:r="http://schemas.openxmlformats.org/officeDocument/2006/relationships" r:embed="rId1"/>
                  <a:stretch>
                    <a:fillRect/>
                  </a:stretch>
                </pic:blipFill>
                <pic:spPr>
                  <a:xfrm>
                    <a:off x="0" y="0"/>
                    <a:ext cx="7565390" cy="107010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single" w:sz="2" w:space="0" w:color="auto"/>
        <w:between w:val="single" w:sz="2" w:space="0" w:color="000000"/>
      </w:pBdr>
      <w:spacing w:before="0" w:after="0"/>
      <w:jc w:val="both"/>
      <w:rPr>
        <w:rFonts w:eastAsiaTheme="minorEastAsia" w:hint="default"/>
        <w:lang w:val="en-US" w:eastAsia="zh-CN"/>
      </w:rPr>
    </w:pPr>
  </w:p>
  <w:p/>
  <w:p>
    <w:pPr>
      <w:pBdr>
        <w:bottom w:val="single" w:sz="0" w:space="0" w:color="auto"/>
        <w:between w:val="single" w:sz="0" w:space="0" w:color="000000"/>
      </w:pBdr>
      <w:spacing w:before="0" w:after="0"/>
      <w:jc w:val="both"/>
    </w:pPr>
    <w:r>
      <w:rPr>
        <w:sz w:val="20"/>
        <w:szCs w:val="20"/>
      </w:rPr>
      <w:t>CN111471935B价值评估报告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single" w:sz="0" w:space="0" w:color="auto"/>
        <w:between w:val="single" w:sz="0" w:space="0" w:color="000000"/>
      </w:pBdr>
      <w:spacing w:before="0" w:after="0"/>
      <w:jc w:val="both"/>
    </w:pPr>
    <w:r>
      <w:rPr>
        <w:sz w:val="20"/>
        <w:szCs w:val="20"/>
      </w:rPr>
      <w:t>CN111471935B价值评估报告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single" w:sz="0" w:space="0" w:color="auto"/>
        <w:between w:val="single" w:sz="0" w:space="0" w:color="000000"/>
      </w:pBdr>
      <w:spacing w:before="0" w:after="0"/>
      <w:jc w:val="both"/>
    </w:pPr>
    <w:r>
      <w:rPr>
        <w:sz w:val="20"/>
        <w:szCs w:val="20"/>
      </w:rPr>
      <w:t>CN111471935B价值评估报告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FCA8DC6"/>
    <w:multiLevelType w:val="singleLevel"/>
    <w:tmpl w:val="9FCA8DC6"/>
    <w:lvl w:ilvl="0">
      <w:start w:val="1"/>
      <w:numFmt w:val="decimal"/>
      <w:suff w:val="nothing"/>
      <w:lvlText w:val="%1、"/>
      <w:lvlJc w:val="left"/>
    </w:lvl>
  </w:abstractNum>
  <w:abstractNum w:abstractNumId="1">
    <w:nsid w:val="B5477158"/>
    <w:multiLevelType w:val="multilevel"/>
    <w:tmpl w:val="B5477158"/>
    <w:lvl w:ilvl="0">
      <w:start w:val="2"/>
      <w:numFmt w:val="decimal"/>
      <w:lvlText w:val="%1."/>
      <w:lvlJc w:val="left"/>
      <w:pPr>
        <w:tabs>
          <w:tab w:val="left" w:pos="312"/>
        </w:tabs>
      </w:pPr>
    </w:lvl>
    <w:lvl w:ilvl="1">
      <w:start w:val="1"/>
      <w:numFmt w:val="decimal"/>
      <w:suff w:val="space"/>
      <w:lvlText w:val="%1.%2"/>
      <w:lvlJc w:val="left"/>
      <w:pPr>
        <w:ind w:left="0" w:firstLine="0" w:leftChars="0" w:firstLineChars="0"/>
      </w:pPr>
      <w:rPr>
        <w:rFonts w:hint="default"/>
      </w:rPr>
    </w:lvl>
    <w:lvl w:ilvl="2">
      <w:start w:val="1"/>
      <w:numFmt w:val="decimal"/>
      <w:suff w:val="space"/>
      <w:lvlText w:val="%1.%2.%3"/>
      <w:lvlJc w:val="left"/>
      <w:pPr>
        <w:ind w:left="0" w:firstLine="0" w:leftChars="0" w:firstLineChars="0"/>
      </w:pPr>
      <w:rPr>
        <w:rFonts w:hint="default"/>
      </w:rPr>
    </w:lvl>
    <w:lvl w:ilvl="3">
      <w:start w:val="1"/>
      <w:numFmt w:val="decimal"/>
      <w:suff w:val="space"/>
      <w:lvlText w:val="%1.%2.%3.%4"/>
      <w:lvlJc w:val="left"/>
      <w:pPr>
        <w:ind w:left="0" w:firstLine="0" w:leftChars="0" w:firstLineChars="0"/>
      </w:pPr>
      <w:rPr>
        <w:rFonts w:hint="default"/>
      </w:rPr>
    </w:lvl>
    <w:lvl w:ilvl="4">
      <w:start w:val="1"/>
      <w:numFmt w:val="decimal"/>
      <w:suff w:val="space"/>
      <w:lvlText w:val="%1.%2.%3.%4.%5"/>
      <w:lvlJc w:val="left"/>
      <w:pPr>
        <w:ind w:left="0" w:firstLine="0" w:leftChars="0" w:firstLineChars="0"/>
      </w:pPr>
      <w:rPr>
        <w:rFonts w:hint="default"/>
      </w:rPr>
    </w:lvl>
    <w:lvl w:ilvl="5">
      <w:start w:val="1"/>
      <w:numFmt w:val="decimal"/>
      <w:suff w:val="space"/>
      <w:lvlText w:val="%1.%2.%3.%4.%5.%6"/>
      <w:lvlJc w:val="left"/>
      <w:pPr>
        <w:ind w:left="0" w:firstLine="0" w:leftChars="0" w:firstLineChars="0"/>
      </w:pPr>
      <w:rPr>
        <w:rFonts w:hint="default"/>
      </w:rPr>
    </w:lvl>
    <w:lvl w:ilvl="6">
      <w:start w:val="1"/>
      <w:numFmt w:val="decimal"/>
      <w:suff w:val="space"/>
      <w:lvlText w:val="%1.%2.%3.%4.%5.%6.%7"/>
      <w:lvlJc w:val="left"/>
      <w:pPr>
        <w:ind w:left="0" w:firstLine="0" w:leftChars="0" w:firstLineChars="0"/>
      </w:pPr>
      <w:rPr>
        <w:rFonts w:hint="default"/>
      </w:rPr>
    </w:lvl>
    <w:lvl w:ilvl="7">
      <w:start w:val="1"/>
      <w:numFmt w:val="decimal"/>
      <w:suff w:val="space"/>
      <w:lvlText w:val="%1.%2.%3.%4.%5.%6.%7.%8"/>
      <w:lvlJc w:val="left"/>
      <w:pPr>
        <w:ind w:left="0" w:firstLine="0" w:leftChars="0" w:firstLineChars="0"/>
      </w:pPr>
      <w:rPr>
        <w:rFonts w:hint="default"/>
      </w:rPr>
    </w:lvl>
    <w:lvl w:ilvl="8">
      <w:start w:val="1"/>
      <w:numFmt w:val="decimal"/>
      <w:suff w:val="space"/>
      <w:lvlText w:val="%1.%2.%3.%4.%5.%6.%7.%8.%9"/>
      <w:lvlJc w:val="left"/>
      <w:pPr>
        <w:ind w:left="0" w:firstLine="0" w:leftChars="0" w:firstLineChars="0"/>
      </w:pPr>
      <w:rPr>
        <w:rFonts w:hint="default"/>
      </w:rPr>
    </w:lvl>
  </w:abstractNum>
  <w:abstractNum w:abstractNumId="2">
    <w:nsid w:val="E6812E26"/>
    <w:multiLevelType w:val="multilevel"/>
    <w:tmpl w:val="E6812E2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nsid w:val="4ED1CDD5"/>
    <w:multiLevelType w:val="singleLevel"/>
    <w:tmpl w:val="4ED1CDD5"/>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isplayBackgroundShape/>
  <w:defaultTabStop w:val="420"/>
  <w:updateFields/>
  <w:drawingGridVerticalSpacing w:val="156"/>
  <w:noPunctuationKerning/>
  <w:characterSpacingControl w:val="compressPunctuation"/>
  <w:compat>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7D80A39"/>
    <w:rsid w:val="0DD9412D"/>
    <w:rsid w:val="0E7059E4"/>
    <w:rsid w:val="106E66CE"/>
    <w:rsid w:val="10E2676D"/>
    <w:rsid w:val="11E10C98"/>
    <w:rsid w:val="16EF569D"/>
    <w:rsid w:val="1E5F44BF"/>
    <w:rsid w:val="24CF6255"/>
    <w:rsid w:val="257870FD"/>
    <w:rsid w:val="27EB6314"/>
    <w:rsid w:val="28C619BC"/>
    <w:rsid w:val="2A071519"/>
    <w:rsid w:val="2B016BD3"/>
    <w:rsid w:val="30A6192D"/>
    <w:rsid w:val="37A421E2"/>
    <w:rsid w:val="3B755B75"/>
    <w:rsid w:val="3E463064"/>
    <w:rsid w:val="3E564895"/>
    <w:rsid w:val="405A6794"/>
    <w:rsid w:val="44F05207"/>
    <w:rsid w:val="4B9F0B41"/>
    <w:rsid w:val="534E3E33"/>
    <w:rsid w:val="53A34A9B"/>
    <w:rsid w:val="53D556A4"/>
    <w:rsid w:val="54C34224"/>
    <w:rsid w:val="554E1875"/>
    <w:rsid w:val="57285993"/>
    <w:rsid w:val="5BAB2CE0"/>
    <w:rsid w:val="72695E00"/>
    <w:rsid w:val="735208AD"/>
    <w:rsid w:val="78371F42"/>
  </w:rsids>
  <w:docVars>
    <w:docVar w:name="commondata" w:val="eyJoZGlkIjoiOGNiYzlkODVjMmI4NzNlMzRjOTkxN2M1ZThhYjA5Y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 w:val="20"/>
        <w:szCs w:val="20"/>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5B6" w:themeColor="accent1" w:themeShade="BF"/>
      <w:sz w:val="28"/>
      <w:szCs w:val="28"/>
    </w:rPr>
  </w:style>
  <w:style w:type="paragraph" w:styleId="Heading2">
    <w:name w:val="heading 2"/>
    <w:basedOn w:val="Normal"/>
    <w:next w:val="Normal"/>
    <w:uiPriority w:val="9"/>
    <w:unhideWhenUsed/>
    <w:qFormat/>
    <w:pPr>
      <w:keepNext/>
      <w:keepLines/>
      <w:spacing w:before="200" w:after="0"/>
      <w:outlineLvl w:val="1"/>
    </w:pPr>
    <w:rPr>
      <w:rFonts w:asciiTheme="majorAscii" w:eastAsiaTheme="majorEastAsia" w:hAnsiTheme="majorAscii" w:cstheme="majorBidi"/>
      <w:b/>
      <w:bCs/>
      <w:color w:val="5B9BD5" w:themeColor="accent1"/>
      <w:sz w:val="24"/>
      <w:szCs w:val="26"/>
      <w14:textFill>
        <w14:solidFill>
          <w14:schemeClr w14:val="accent1"/>
        </w14:solidFill>
      </w14:textFill>
    </w:rPr>
  </w:style>
  <w:style w:type="paragraph" w:styleId="Heading3">
    <w:name w:val="heading 3"/>
    <w:basedOn w:val="Normal"/>
    <w:next w:val="Normal"/>
    <w:unhideWhenUsed/>
    <w:qFormat/>
    <w:pPr>
      <w:keepNext/>
      <w:keepLines/>
      <w:spacing w:before="260" w:beforeLines="0" w:beforeAutospacing="0" w:after="260" w:afterLines="0" w:afterAutospacing="0" w:line="413" w:lineRule="auto"/>
      <w:outlineLvl w:val="2"/>
    </w:pPr>
    <w:rPr>
      <w:rFonts w:asciiTheme="minorAscii" w:hAnsiTheme="minorAscii"/>
      <w:b/>
      <w:sz w:val="21"/>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TOC3">
    <w:name w:val="toc 3"/>
    <w:basedOn w:val="Normal"/>
    <w:next w:val="Normal"/>
    <w:qFormat/>
    <w:pPr>
      <w:ind w:left="840" w:leftChars="4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TOCHeading">
    <w:name w:val="TOC Heading"/>
    <w:uiPriority w:val="39"/>
    <w:semiHidden/>
    <w:unhideWhenUsed/>
    <w:qFormat/>
    <w:pPr>
      <w:keepNext/>
      <w:keepLines/>
      <w:numPr>
        <w:ilvl w:val="0"/>
        <w:numId w:val="0"/>
      </w:numPr>
      <w:spacing w:before="480" w:after="0"/>
      <w:outlineLvl w:val="9"/>
    </w:pPr>
    <w:rPr>
      <w:rFonts w:asciiTheme="majorHAnsi" w:eastAsiaTheme="majorEastAsia" w:hAnsiTheme="majorHAnsi" w:cstheme="majorBidi"/>
      <w:b/>
      <w:bCs/>
      <w:color w:val="000000"/>
      <w:sz w:val="28"/>
      <w:szCs w:val="28"/>
    </w:rPr>
  </w:style>
  <w:style w:type="paragraph" w:styleId="TOC4">
    <w:name w:val="toc 4"/>
    <w:basedOn w:val="Normal"/>
    <w:autoRedefine/>
    <w:uiPriority w:val="39"/>
    <w:unhideWhenUsed/>
    <w:pPr>
      <w:spacing w:after="100"/>
      <w:ind w:left="660"/>
    </w:pPr>
  </w:style>
  <w:style w:type="paragraph" w:styleId="TOC5">
    <w:name w:val="toc 5"/>
    <w:basedOn w:val="Normal"/>
    <w:autoRedefine/>
    <w:uiPriority w:val="39"/>
    <w:unhideWhenUsed/>
    <w:pPr>
      <w:spacing w:after="100"/>
      <w:ind w:left="880"/>
    </w:pPr>
  </w:style>
  <w:style w:type="paragraph" w:styleId="TOC6">
    <w:name w:val="toc 6"/>
    <w:basedOn w:val="Normal"/>
    <w:autoRedefine/>
    <w:uiPriority w:val="39"/>
    <w:unhideWhenUsed/>
    <w:pPr>
      <w:spacing w:after="100"/>
      <w:ind w:left="1100"/>
    </w:pPr>
  </w:style>
  <w:style w:type="paragraph" w:styleId="TOC7">
    <w:name w:val="toc 7"/>
    <w:basedOn w:val="Normal"/>
    <w:autoRedefine/>
    <w:uiPriority w:val="39"/>
    <w:unhideWhenUsed/>
    <w:pPr>
      <w:spacing w:after="100"/>
      <w:ind w:left="1320"/>
    </w:pPr>
  </w:style>
  <w:style w:type="paragraph" w:styleId="TOC8">
    <w:name w:val="toc 8"/>
    <w:basedOn w:val="Normal"/>
    <w:autoRedefine/>
    <w:uiPriority w:val="39"/>
    <w:unhideWhenUsed/>
    <w:pPr>
      <w:spacing w:after="100"/>
      <w:ind w:left="1540"/>
    </w:pPr>
  </w:style>
  <w:style w:type="paragraph" w:styleId="TOC9">
    <w:name w:val="toc 9"/>
    <w:basedOn w:val="Normal"/>
    <w:autoRedefine/>
    <w:uiPriority w:val="39"/>
    <w:unhideWhenUsed/>
    <w:pPr>
      <w:spacing w:after="100"/>
      <w:ind w:left="1760"/>
    </w:pPr>
  </w:style>
  <w:style w:type="character" w:customStyle="1" w:styleId="Hyperlink0">
    <w:name w:val="Hyperlink_0"/>
    <w:uiPriority w:val="99"/>
    <w:unhideWhenUsed/>
    <w:rPr>
      <w:color w:val="0563C1" w:themeColor="hyperlink"/>
      <w:u w:val="single"/>
    </w:rPr>
  </w:style>
  <w:style w:type="paragraph" w:customStyle="1" w:styleId="1-11-BR">
    <w:name w:val="1-11-BR"/>
    <w:pPr>
      <w:widowControl w:val="0"/>
      <w:jc w:val="both"/>
    </w:pPr>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www.cnipa.gov.cn/art/2021/12/17/art_430_172260.html" TargetMode="External" /><Relationship Id="rId12" Type="http://schemas.openxmlformats.org/officeDocument/2006/relationships/header" Target="header3.xml" /><Relationship Id="rId13" Type="http://schemas.openxmlformats.org/officeDocument/2006/relationships/image" Target="media/image4.png"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1459</Words>
  <Characters>2768</Characters>
  <Application>Microsoft Office Word</Application>
  <DocSecurity>0</DocSecurity>
  <Lines>0</Lines>
  <Paragraphs>0</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himmuc</dc:creator>
  <cp:lastModifiedBy>himmuc</cp:lastModifiedBy>
  <cp:revision>0</cp:revision>
  <dcterms:created xsi:type="dcterms:W3CDTF">2021-12-08T03:09:00Z</dcterms:created>
  <dcterms:modified xsi:type="dcterms:W3CDTF">2022-07-21T11:00:01Z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C8F2589F47414EF08B97D55D90598B86</vt:lpwstr>
  </property>
  <property fmtid="{D5CDD505-2E9C-101B-9397-08002B2CF9AE}" pid="3" name="KSOProductBuildVer">
    <vt:lpwstr>2052-11.1.0.11875</vt:lpwstr>
  </property>
</Properties>
</file>